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AILERON THERAPEUTICS,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00887A204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28,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1" w:lineRule="exact"/>
        <w:rPr>
          <w:sz w:val="24"/>
          <w:szCs w:val="24"/>
          <w:color w:val="auto"/>
        </w:rPr>
      </w:pPr>
    </w:p>
    <w:p>
      <w:pPr>
        <w:ind w:right="1699"/>
        <w:spacing w:after="0" w:line="274"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8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University of Texas/Texas A&amp;M Investment Management Company</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30"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16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right="5499" w:hanging="852"/>
        <w:spacing w:after="0" w:line="346"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TX</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1700" w:right="6659" w:hanging="1692"/>
        <w:spacing w:after="0" w:line="34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1700" w:right="6439" w:hanging="1692"/>
        <w:spacing w:after="0" w:line="34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1,812,627(1)</w:t>
      </w:r>
    </w:p>
    <w:p>
      <w:pPr>
        <w:spacing w:after="0" w:line="19" w:lineRule="exact"/>
        <w:rPr>
          <w:rFonts w:ascii="Courier New" w:cs="Courier New" w:eastAsia="Courier New" w:hAnsi="Courier New"/>
          <w:sz w:val="18"/>
          <w:szCs w:val="18"/>
          <w:color w:val="auto"/>
        </w:rPr>
      </w:pPr>
    </w:p>
    <w:p>
      <w:pPr>
        <w:ind w:left="1700" w:right="6139" w:hanging="1692"/>
        <w:spacing w:after="0" w:line="34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1700" w:right="5919" w:hanging="1692"/>
        <w:spacing w:after="0" w:line="34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1,812,627(1)</w:t>
      </w:r>
    </w:p>
    <w:p>
      <w:pPr>
        <w:spacing w:after="0" w:line="19" w:lineRule="exact"/>
        <w:rPr>
          <w:rFonts w:ascii="Courier New" w:cs="Courier New" w:eastAsia="Courier New" w:hAnsi="Courier New"/>
          <w:sz w:val="18"/>
          <w:szCs w:val="18"/>
          <w:color w:val="auto"/>
        </w:rPr>
      </w:pPr>
    </w:p>
    <w:p>
      <w:pPr>
        <w:ind w:left="1700" w:right="2119" w:hanging="1692"/>
        <w:spacing w:after="0" w:line="34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1,812,627(1)</w:t>
      </w:r>
    </w:p>
    <w:p>
      <w:pPr>
        <w:spacing w:after="0" w:line="19" w:lineRule="exact"/>
        <w:rPr>
          <w:rFonts w:ascii="Courier New" w:cs="Courier New" w:eastAsia="Courier New" w:hAnsi="Courier New"/>
          <w:sz w:val="18"/>
          <w:szCs w:val="18"/>
          <w:color w:val="auto"/>
        </w:rPr>
      </w:pPr>
    </w:p>
    <w:p>
      <w:pPr>
        <w:ind w:left="1700" w:right="2019" w:hanging="1692"/>
        <w:spacing w:after="0" w:line="34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9" w:lineRule="exact"/>
        <w:rPr>
          <w:rFonts w:ascii="Courier New" w:cs="Courier New" w:eastAsia="Courier New" w:hAnsi="Courier New"/>
          <w:sz w:val="18"/>
          <w:szCs w:val="18"/>
          <w:color w:val="auto"/>
        </w:rPr>
      </w:pPr>
    </w:p>
    <w:p>
      <w:pPr>
        <w:ind w:left="860" w:right="4339" w:hanging="852"/>
        <w:spacing w:after="0" w:line="34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6.2%(2)</w:t>
      </w:r>
    </w:p>
    <w:p>
      <w:pPr>
        <w:spacing w:after="0" w:line="19" w:lineRule="exact"/>
        <w:rPr>
          <w:rFonts w:ascii="Courier New" w:cs="Courier New" w:eastAsia="Courier New" w:hAnsi="Courier New"/>
          <w:sz w:val="18"/>
          <w:szCs w:val="18"/>
          <w:color w:val="auto"/>
        </w:rPr>
      </w:pPr>
    </w:p>
    <w:p>
      <w:pPr>
        <w:ind w:left="860" w:right="6759" w:hanging="852"/>
        <w:spacing w:after="0" w:line="34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20" w:lineRule="exact"/>
        <w:rPr>
          <w:sz w:val="24"/>
          <w:szCs w:val="24"/>
          <w:color w:val="auto"/>
        </w:rPr>
      </w:pPr>
    </w:p>
    <w:p>
      <w:pPr>
        <w:ind w:left="420" w:right="2019" w:hanging="412"/>
        <w:spacing w:after="0" w:line="292"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(i) 1,810,457 shares of Common Stock and (ii) 2,170 shares of Common Stock issuable upon exercise of warrants held by the Reporting Person.</w:t>
      </w:r>
    </w:p>
    <w:p>
      <w:pPr>
        <w:sectPr>
          <w:pgSz w:w="11900" w:h="16931" w:orient="portrait"/>
          <w:cols w:equalWidth="0" w:num="1">
            <w:col w:w="10139"/>
          </w:cols>
          <w:pgMar w:left="320" w:top="1406" w:right="1440" w:bottom="0" w:gutter="0" w:footer="0" w:header="0"/>
        </w:sectPr>
      </w:pPr>
    </w:p>
    <w:bookmarkStart w:id="1" w:name="page2"/>
    <w:bookmarkEnd w:id="1"/>
    <w:p>
      <w:pPr>
        <w:spacing w:after="0" w:line="104" w:lineRule="exact"/>
        <w:rPr>
          <w:sz w:val="20"/>
          <w:szCs w:val="20"/>
          <w:color w:val="auto"/>
        </w:rPr>
      </w:pPr>
    </w:p>
    <w:p>
      <w:pPr>
        <w:ind w:left="420" w:right="2859" w:hanging="412"/>
        <w:spacing w:after="0" w:line="289"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set forth in Row 11 of this Cover Page is based on 29,495,512 shares of Common Stock outstanding, which consists of</w:t>
      </w:r>
    </w:p>
    <w:p>
      <w:pPr>
        <w:ind w:left="420" w:right="2019" w:firstLine="9"/>
        <w:spacing w:after="0" w:line="256" w:lineRule="auto"/>
        <w:tabs>
          <w:tab w:leader="none" w:pos="841"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4,885,512 shares of Common Stock outstanding as of November 30, 2023, and (ii) 24,610,000 shares of Common Stock issuable upon the automatic conversion of the Issuers Series X Preferred Stock, both as reported in the Issuers Definitive Proxy Statement filed with the Securities and Exchange Commission on January 29, 2024.</w:t>
      </w:r>
    </w:p>
    <w:p>
      <w:pPr>
        <w:spacing w:after="0" w:line="95"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Regents of the University of Texas System</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16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right="5499" w:hanging="852"/>
        <w:spacing w:after="0" w:line="34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TX</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1700" w:right="6659" w:hanging="1692"/>
        <w:spacing w:after="0" w:line="346"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1700" w:right="6439" w:hanging="1692"/>
        <w:spacing w:after="0" w:line="402" w:lineRule="auto"/>
        <w:tabs>
          <w:tab w:leader="none" w:pos="1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1,812,627 (1)</w:t>
      </w:r>
    </w:p>
    <w:p>
      <w:pPr>
        <w:ind w:left="1700" w:right="6139" w:hanging="1692"/>
        <w:spacing w:after="0" w:line="346"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1700" w:right="5919" w:hanging="1692"/>
        <w:spacing w:after="0" w:line="346" w:lineRule="auto"/>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1,812,627 (1)</w:t>
      </w:r>
    </w:p>
    <w:p>
      <w:pPr>
        <w:spacing w:after="0" w:line="19" w:lineRule="exact"/>
        <w:rPr>
          <w:rFonts w:ascii="Courier New" w:cs="Courier New" w:eastAsia="Courier New" w:hAnsi="Courier New"/>
          <w:sz w:val="18"/>
          <w:szCs w:val="18"/>
          <w:color w:val="auto"/>
        </w:rPr>
      </w:pPr>
    </w:p>
    <w:p>
      <w:pPr>
        <w:ind w:left="860" w:right="297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1,812,627 (1)</w:t>
      </w:r>
    </w:p>
    <w:p>
      <w:pPr>
        <w:spacing w:after="0" w:line="19" w:lineRule="exact"/>
        <w:rPr>
          <w:rFonts w:ascii="Courier New" w:cs="Courier New" w:eastAsia="Courier New" w:hAnsi="Courier New"/>
          <w:sz w:val="18"/>
          <w:szCs w:val="18"/>
          <w:color w:val="auto"/>
        </w:rPr>
      </w:pPr>
    </w:p>
    <w:p>
      <w:pPr>
        <w:ind w:left="860" w:right="285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[_]</w:t>
      </w:r>
    </w:p>
    <w:p>
      <w:pPr>
        <w:spacing w:after="0" w:line="19" w:lineRule="exact"/>
        <w:rPr>
          <w:rFonts w:ascii="Courier New" w:cs="Courier New" w:eastAsia="Courier New" w:hAnsi="Courier New"/>
          <w:sz w:val="18"/>
          <w:szCs w:val="18"/>
          <w:color w:val="auto"/>
        </w:rPr>
      </w:pPr>
    </w:p>
    <w:p>
      <w:pPr>
        <w:ind w:left="860" w:right="43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6.2%(2)</w:t>
      </w:r>
    </w:p>
    <w:p>
      <w:pPr>
        <w:spacing w:after="0" w:line="19" w:lineRule="exact"/>
        <w:rPr>
          <w:rFonts w:ascii="Courier New" w:cs="Courier New" w:eastAsia="Courier New" w:hAnsi="Courier New"/>
          <w:sz w:val="18"/>
          <w:szCs w:val="18"/>
          <w:color w:val="auto"/>
        </w:rPr>
      </w:pPr>
    </w:p>
    <w:p>
      <w:pPr>
        <w:ind w:left="860" w:right="675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20" w:lineRule="exact"/>
        <w:rPr>
          <w:sz w:val="20"/>
          <w:szCs w:val="20"/>
          <w:color w:val="auto"/>
        </w:rPr>
      </w:pPr>
    </w:p>
    <w:p>
      <w:pPr>
        <w:ind w:left="420" w:right="2019" w:hanging="412"/>
        <w:spacing w:after="0" w:line="25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(i) 1,810,457 shares of Common Stock and (ii) 2,170 shares of Common Stock issuable upon exercise of warrants held by the Reporting Person.</w:t>
      </w:r>
    </w:p>
    <w:p>
      <w:pPr>
        <w:spacing w:after="0" w:line="2" w:lineRule="exact"/>
        <w:rPr>
          <w:rFonts w:ascii="Courier New" w:cs="Courier New" w:eastAsia="Courier New" w:hAnsi="Courier New"/>
          <w:sz w:val="18"/>
          <w:szCs w:val="18"/>
          <w:color w:val="auto"/>
        </w:rPr>
      </w:pPr>
    </w:p>
    <w:p>
      <w:pPr>
        <w:ind w:left="420" w:right="2859" w:hanging="412"/>
        <w:spacing w:after="0" w:line="268" w:lineRule="auto"/>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set forth in Row 11 of this Cover Page is based on 29,495,512 shares of Common Stock outstanding, which consists of</w:t>
      </w:r>
    </w:p>
    <w:p>
      <w:pPr>
        <w:ind w:left="420" w:right="2019" w:firstLine="9"/>
        <w:spacing w:after="0" w:line="256" w:lineRule="auto"/>
        <w:tabs>
          <w:tab w:leader="none" w:pos="84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4,885,512 shares of Common Stock outstanding as of November 30, 2023, and (ii) 24,610,000 shares of Common Stock issuable upon the automatic conversion of the Issuers Series X Preferred Stock, both as reported in the Issuers Definitive Proxy Statement filed with the Securities and Exchange Commission on January 29, 2024.</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Aileron Therapeutics, Inc. (the Issuer).</w:t>
      </w:r>
    </w:p>
    <w:p>
      <w:pPr>
        <w:spacing w:after="0" w:line="169" w:lineRule="exact"/>
        <w:rPr>
          <w:rFonts w:ascii="Courier New" w:cs="Courier New" w:eastAsia="Courier New" w:hAnsi="Courier New"/>
          <w:sz w:val="18"/>
          <w:szCs w:val="18"/>
          <w:color w:val="auto"/>
        </w:rPr>
      </w:pPr>
    </w:p>
    <w:p>
      <w:pPr>
        <w:ind w:left="860" w:right="4339" w:hanging="852"/>
        <w:spacing w:after="0" w:line="257"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738 Main Street #398</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Waltham, MA 02451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Statement on Schedule 13G is being filed by:</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University of Texas/Texas A&amp;M Investment Management Company (UTIMCO)</w:t>
      </w:r>
    </w:p>
    <w:p>
      <w:pPr>
        <w:spacing w:after="0" w:line="5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Regents of the University of Texas System (the Regents)</w:t>
      </w:r>
    </w:p>
    <w:p>
      <w:pPr>
        <w:spacing w:after="0" w:line="169" w:lineRule="exact"/>
        <w:rPr>
          <w:sz w:val="20"/>
          <w:szCs w:val="20"/>
          <w:color w:val="auto"/>
        </w:rPr>
      </w:pPr>
    </w:p>
    <w:p>
      <w:pPr>
        <w:ind w:right="2439"/>
        <w:spacing w:after="0" w:line="420" w:lineRule="auto"/>
        <w:rPr>
          <w:sz w:val="20"/>
          <w:szCs w:val="20"/>
          <w:color w:val="auto"/>
        </w:rPr>
      </w:pPr>
      <w:r>
        <w:rPr>
          <w:rFonts w:ascii="Courier New" w:cs="Courier New" w:eastAsia="Courier New" w:hAnsi="Courier New"/>
          <w:sz w:val="16"/>
          <w:szCs w:val="16"/>
          <w:color w:val="auto"/>
        </w:rPr>
        <w:t>Pursuant to an Investment Management Services Agreement with the Regents, UTIMCO, an institutional investment advisor, holds the shares reported</w:t>
      </w:r>
    </w:p>
    <w:p>
      <w:pPr>
        <w:sectPr>
          <w:pgSz w:w="11900" w:h="16942" w:orient="portrait"/>
          <w:cols w:equalWidth="0" w:num="1">
            <w:col w:w="10139"/>
          </w:cols>
          <w:pgMar w:left="320" w:top="110" w:right="1440" w:bottom="0" w:gutter="0" w:footer="0" w:header="0"/>
        </w:sectPr>
      </w:pPr>
    </w:p>
    <w:bookmarkStart w:id="2" w:name="page3"/>
    <w:bookmarkEnd w:id="2"/>
    <w:p>
      <w:pPr>
        <w:jc w:val="both"/>
        <w:ind w:right="2559"/>
        <w:spacing w:after="0" w:line="292" w:lineRule="auto"/>
        <w:rPr>
          <w:sz w:val="20"/>
          <w:szCs w:val="20"/>
          <w:color w:val="auto"/>
        </w:rPr>
      </w:pPr>
      <w:r>
        <w:rPr>
          <w:rFonts w:ascii="Courier New" w:cs="Courier New" w:eastAsia="Courier New" w:hAnsi="Courier New"/>
          <w:sz w:val="18"/>
          <w:szCs w:val="18"/>
          <w:color w:val="auto"/>
        </w:rPr>
        <w:t>herein on behalf of the Regents and is authorized to exercise investment discretion and voting power with respect to such shares on behalf of the Regents.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This Schedule 13G is</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filed on</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behalf</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of each of these persons. Included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this</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Schedule 13G</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 Exhibit 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agreement between UTIMCO and the</w:t>
            </w: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Regents</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w w:val="98"/>
              </w:rPr>
              <w:t>to file this</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Schedule</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13G</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on</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behalf of each of them.</w:t>
            </w:r>
          </w:p>
        </w:tc>
      </w:tr>
    </w:tbl>
    <w:p>
      <w:pPr>
        <w:spacing w:after="0" w:line="109" w:lineRule="exact"/>
        <w:rPr>
          <w:sz w:val="20"/>
          <w:szCs w:val="20"/>
          <w:color w:val="auto"/>
        </w:rPr>
      </w:pPr>
    </w:p>
    <w:p>
      <w:pPr>
        <w:ind w:right="1699"/>
        <w:spacing w:after="0" w:line="260" w:lineRule="auto"/>
        <w:rPr>
          <w:sz w:val="20"/>
          <w:szCs w:val="20"/>
          <w:color w:val="auto"/>
        </w:rPr>
      </w:pPr>
      <w:r>
        <w:rPr>
          <w:rFonts w:ascii="Courier New" w:cs="Courier New" w:eastAsia="Courier New" w:hAnsi="Courier New"/>
          <w:sz w:val="18"/>
          <w:szCs w:val="18"/>
          <w:color w:val="auto"/>
        </w:rPr>
        <w:t>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pacing w:after="0" w:line="92" w:lineRule="exact"/>
        <w:rPr>
          <w:sz w:val="20"/>
          <w:szCs w:val="20"/>
          <w:color w:val="auto"/>
        </w:rPr>
      </w:pPr>
    </w:p>
    <w:p>
      <w:pPr>
        <w:ind w:left="860" w:right="2979" w:hanging="852"/>
        <w:spacing w:after="0" w:line="346"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210 West 7th St., Suite 1700, Austin, TX 78701</w:t>
      </w:r>
    </w:p>
    <w:p>
      <w:pPr>
        <w:spacing w:after="0" w:line="19" w:lineRule="exact"/>
        <w:rPr>
          <w:rFonts w:ascii="Courier New" w:cs="Courier New" w:eastAsia="Courier New" w:hAnsi="Courier New"/>
          <w:sz w:val="18"/>
          <w:szCs w:val="18"/>
          <w:color w:val="auto"/>
        </w:rPr>
      </w:pPr>
    </w:p>
    <w:p>
      <w:pPr>
        <w:ind w:left="860" w:right="8019" w:hanging="852"/>
        <w:spacing w:after="0" w:line="402"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Texas</w:t>
      </w: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$0.001 per share</w:t>
      </w:r>
    </w:p>
    <w:p>
      <w:pPr>
        <w:spacing w:after="0" w:line="169" w:lineRule="exact"/>
        <w:rPr>
          <w:rFonts w:ascii="Courier New" w:cs="Courier New" w:eastAsia="Courier New" w:hAnsi="Courier New"/>
          <w:sz w:val="18"/>
          <w:szCs w:val="18"/>
          <w:color w:val="auto"/>
        </w:rPr>
      </w:pPr>
    </w:p>
    <w:p>
      <w:pPr>
        <w:ind w:left="860" w:right="8239" w:hanging="852"/>
        <w:spacing w:after="0" w:line="402"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00887A204</w:t>
      </w: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For each of the Reporting Persons, the amount beneficially owned, percent of class and shares with respect to which they have sole or shared dispositive or voting control are set forth on the cover pages hereto.</w:t>
      </w:r>
    </w:p>
    <w:p>
      <w:pPr>
        <w:spacing w:after="0" w:line="66" w:lineRule="exact"/>
        <w:rPr>
          <w:sz w:val="20"/>
          <w:szCs w:val="20"/>
          <w:color w:val="auto"/>
        </w:rPr>
      </w:pPr>
    </w:p>
    <w:p>
      <w:pPr>
        <w:ind w:right="1699"/>
        <w:spacing w:after="0" w:line="289" w:lineRule="auto"/>
        <w:rPr>
          <w:sz w:val="20"/>
          <w:szCs w:val="20"/>
          <w:color w:val="auto"/>
        </w:rPr>
      </w:pPr>
      <w:r>
        <w:rPr>
          <w:rFonts w:ascii="Courier New" w:cs="Courier New" w:eastAsia="Courier New" w:hAnsi="Courier New"/>
          <w:sz w:val="16"/>
          <w:szCs w:val="16"/>
          <w:color w:val="auto"/>
        </w:rPr>
        <w:t>On October 31, 2023, the Issuer acquired Lung Therapeutics, Inc. (Lung) pursuant to an Agreement and Plan of Merger by and among the Issuer, Lung, and certain other parties thereto. As a result of such acquisition, the Regents were issued the above-referenced shares in respect of shares of Lung previously issued pursuant to (a) an Amended and Restated Patent and Technology License Agreement, effective as of June 19, 2013, by and between Lung and the Regents, on behalf of The University of Texas Health Science Center at Tyler, as amended, and (b) convertible note, preferred stock and SAFE investments.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2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Five Percent or Less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of a Class.</w:t>
            </w:r>
          </w:p>
        </w:tc>
        <w:tc>
          <w:tcPr>
            <w:tcW w:w="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5"/>
              </w:rPr>
              <w:t>hereof</w:t>
            </w:r>
          </w:p>
        </w:tc>
        <w:tc>
          <w:tcPr>
            <w:tcW w:w="0" w:type="dxa"/>
            <w:vAlign w:val="bottom"/>
          </w:tcPr>
          <w:p>
            <w:pPr>
              <w:spacing w:after="0"/>
              <w:rPr>
                <w:sz w:val="1"/>
                <w:szCs w:val="1"/>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being filed to</w:t>
            </w:r>
          </w:p>
        </w:tc>
        <w:tc>
          <w:tcPr>
            <w:tcW w:w="3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report the fact that as of the date</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2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has ceased to be the</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beneficial owner of more than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five</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percent</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of the class</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of securities,</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check</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the following [_].</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security being reported on by the parent holding company or control person.</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jc w:val="right"/>
        <w:ind w:right="7599"/>
        <w:spacing w:after="0"/>
        <w:rPr>
          <w:sz w:val="20"/>
          <w:szCs w:val="20"/>
          <w:color w:val="auto"/>
        </w:rPr>
      </w:pPr>
      <w:r>
        <w:rPr>
          <w:rFonts w:ascii="Courier New" w:cs="Courier New" w:eastAsia="Courier New" w:hAnsi="Courier New"/>
          <w:sz w:val="16"/>
          <w:szCs w:val="16"/>
          <w:color w:val="auto"/>
        </w:rPr>
        <w:t>Item 10. Certifications.</w:t>
      </w:r>
    </w:p>
    <w:p>
      <w:pPr>
        <w:spacing w:after="0" w:line="53" w:lineRule="exact"/>
        <w:rPr>
          <w:sz w:val="20"/>
          <w:szCs w:val="20"/>
          <w:color w:val="auto"/>
        </w:rPr>
      </w:pPr>
    </w:p>
    <w:p>
      <w:pPr>
        <w:jc w:val="right"/>
        <w:ind w:right="7599"/>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1819"/>
        <w:spacing w:after="0" w:line="377"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5, 2024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University of Texas/Texas A&amp;M Investment Management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Joan Moeller</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Joan Moeller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Regents of the University of Texas System</w:t>
      </w:r>
    </w:p>
    <w:p>
      <w:pPr>
        <w:sectPr>
          <w:pgSz w:w="11900" w:h="16838" w:orient="portrait"/>
          <w:cols w:equalWidth="0" w:num="1">
            <w:col w:w="10139"/>
          </w:cols>
          <w:pgMar w:left="320" w:top="110" w:right="1440" w:bottom="0" w:gutter="0" w:footer="0" w:header="0"/>
        </w:sectPr>
      </w:pPr>
    </w:p>
    <w:bookmarkStart w:id="3" w:name="page4"/>
    <w:bookmarkEnd w:id="3"/>
    <w:p>
      <w:pPr>
        <w:ind w:left="420" w:right="2979" w:hanging="419"/>
        <w:spacing w:after="0" w:line="292" w:lineRule="auto"/>
        <w:tabs>
          <w:tab w:leader="none" w:pos="400" w:val="left"/>
        </w:tabs>
        <w:rPr>
          <w:sz w:val="20"/>
          <w:szCs w:val="20"/>
          <w:color w:val="auto"/>
        </w:rPr>
      </w:pPr>
      <w:r>
        <w:rPr>
          <w:rFonts w:ascii="Courier New" w:cs="Courier New" w:eastAsia="Courier New" w:hAnsi="Courier New"/>
          <w:sz w:val="18"/>
          <w:szCs w:val="18"/>
          <w:color w:val="auto"/>
        </w:rPr>
        <w:t>By:</w:t>
        <w:tab/>
        <w:t>The University of Texas/Texas A&amp;M Investment Management Company, as investment advisor to The Board of Regents of the University of Texas System</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Joan Moeller</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Joan Moeller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699"/>
        <w:spacing w:after="0" w:line="276" w:lineRule="auto"/>
        <w:rPr>
          <w:sz w:val="20"/>
          <w:szCs w:val="20"/>
          <w:color w:val="auto"/>
        </w:rPr>
      </w:pPr>
      <w:r>
        <w:rPr>
          <w:rFonts w:ascii="Courier New" w:cs="Courier New" w:eastAsia="Courier New" w:hAnsi="Courier New"/>
          <w:sz w:val="16"/>
          <w:szCs w:val="16"/>
          <w:color w:val="auto"/>
        </w:rPr>
        <w:t>Each of the undersigned agrees that (i) the statement on Schedule 13G relating to the Common Stock of Aileron Therapeutics, Inc., has been adopted and filed on behalf of each of them, (ii) all future amendments to such statement on Schedule 13G will, unless written notice to the contrary is delivered as described below, be jointly filed on behalf of each of them, and (iii) the provisions of</w:t>
      </w:r>
    </w:p>
    <w:p>
      <w:pPr>
        <w:spacing w:after="0" w:line="2"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Rule 13d-1(k)(1) under the Securities Exchange Act of 1934 apply to each of them. This agreement may be terminated with respect to the obligations to jointly file future amendments to such statement on Schedule 13G as to any of the undersigned upon such person giving written notice thereof to each of the other persons signature hereto, at the principal office thereof.</w:t>
      </w:r>
    </w:p>
    <w:p>
      <w:pPr>
        <w:spacing w:after="0" w:line="95" w:lineRule="exact"/>
        <w:rPr>
          <w:sz w:val="20"/>
          <w:szCs w:val="20"/>
          <w:color w:val="auto"/>
        </w:rPr>
      </w:pPr>
    </w:p>
    <w:p>
      <w:pPr>
        <w:jc w:val="both"/>
        <w:ind w:right="2239"/>
        <w:spacing w:after="0" w:line="292" w:lineRule="auto"/>
        <w:rPr>
          <w:sz w:val="20"/>
          <w:szCs w:val="20"/>
          <w:color w:val="auto"/>
        </w:rPr>
      </w:pPr>
      <w:r>
        <w:rPr>
          <w:rFonts w:ascii="Courier New" w:cs="Courier New" w:eastAsia="Courier New" w:hAnsi="Courier New"/>
          <w:sz w:val="18"/>
          <w:szCs w:val="18"/>
          <w:color w:val="auto"/>
        </w:rPr>
        <w:t>This Agreement may be executed in any number of counterparts, each of which shall be deemed an original, but all of which together shall constitute one and the same instrument.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5, 2024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University of Texas/Texas A&amp;M Investment Management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Joan Moeller</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Joan Moeller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Regents of the University of Texas System</w:t>
      </w:r>
    </w:p>
    <w:p>
      <w:pPr>
        <w:spacing w:after="0" w:line="31" w:lineRule="exact"/>
        <w:rPr>
          <w:sz w:val="20"/>
          <w:szCs w:val="20"/>
          <w:color w:val="auto"/>
        </w:rPr>
      </w:pPr>
    </w:p>
    <w:p>
      <w:pPr>
        <w:ind w:left="420" w:right="2979" w:hanging="419"/>
        <w:spacing w:after="0" w:line="273" w:lineRule="auto"/>
        <w:tabs>
          <w:tab w:leader="none" w:pos="400" w:val="left"/>
        </w:tabs>
        <w:rPr>
          <w:sz w:val="20"/>
          <w:szCs w:val="20"/>
          <w:color w:val="auto"/>
        </w:rPr>
      </w:pPr>
      <w:r>
        <w:rPr>
          <w:rFonts w:ascii="Courier New" w:cs="Courier New" w:eastAsia="Courier New" w:hAnsi="Courier New"/>
          <w:sz w:val="18"/>
          <w:szCs w:val="18"/>
          <w:color w:val="auto"/>
        </w:rPr>
        <w:t>By:</w:t>
        <w:tab/>
        <w:t>The University of Texas/Texas A&amp;M Investment Management Company, as investment advisor to The Board of Regents of the University of Texas System</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Joan Moeller</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Joan Moeller</w:t>
      </w:r>
    </w:p>
    <w:p>
      <w:pPr>
        <w:ind w:left="420"/>
        <w:spacing w:after="0"/>
        <w:rPr>
          <w:sz w:val="20"/>
          <w:szCs w:val="20"/>
          <w:color w:val="auto"/>
        </w:rPr>
      </w:pPr>
      <w:r>
        <w:rPr>
          <w:rFonts w:ascii="Courier New" w:cs="Courier New" w:eastAsia="Courier New" w:hAnsi="Courier New"/>
          <w:sz w:val="18"/>
          <w:szCs w:val="18"/>
          <w:color w:val="auto"/>
        </w:rPr>
        <w:t>Chief Operating Officer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
    </w:lvl>
    <w:lvl w:ilvl="1">
      <w:lvlJc w:val="left"/>
      <w:lvlText w:val="(%2)"/>
      <w:numFmt w:val="lowerLetter"/>
      <w:start w:val="1"/>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lvl w:ilvl="1">
      <w:lvlJc w:val="left"/>
      <w:lvlText w:val="(%2)"/>
      <w:numFmt w:val="lowerRoman"/>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2"/>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1"/>
    </w:lvl>
    <w:lvl w:ilvl="1">
      <w:lvlJc w:val="left"/>
      <w:lvlText w:val="(%2)"/>
      <w:numFmt w:val="lowerRoman"/>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2024-03-05T18:16:28Z</dcterms:created>
  <dcterms:modified xsi:type="dcterms:W3CDTF">2024-03-05T18:16:28Z</dcterms:modified>
</cp:coreProperties>
</file>