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333-295390</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173990</wp:posOffset>
            </wp:positionV>
            <wp:extent cx="104584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REIN THERAPEUTICS, INC.</w:t>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50,000,000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selling 50,000,000 shares of our common stock at the public offering price of $1.00 per share.</w:t>
      </w:r>
    </w:p>
    <w:p>
      <w:pPr>
        <w:spacing w:after="0" w:line="225" w:lineRule="exact"/>
        <w:rPr>
          <w:sz w:val="24"/>
          <w:szCs w:val="24"/>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“RNTX.” On April 30, 2026, the last reported sale price of our common stock on the Nasdaq Capital Market was $1.355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20" w:right="1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making an investment decision, you should carefully review and consider all of the information set forth in this prospectus and the documents incorporated by reference herein, including the risks and uncertainties described under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beginning on page 6 of this prospectus and the risk factors incorporated by reference into this prospectus.</w:t>
      </w:r>
    </w:p>
    <w:p>
      <w:pPr>
        <w:spacing w:after="0" w:line="153" w:lineRule="exact"/>
        <w:rPr>
          <w:sz w:val="24"/>
          <w:szCs w:val="24"/>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7"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w:t>
            </w:r>
          </w:p>
        </w:tc>
        <w:tc>
          <w:tcPr>
            <w:tcW w:w="120" w:type="dxa"/>
            <w:vAlign w:val="bottom"/>
          </w:tcPr>
          <w:p>
            <w:pPr>
              <w:spacing w:after="0"/>
              <w:rPr>
                <w:sz w:val="13"/>
                <w:szCs w:val="13"/>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$ 1.00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25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7"/>
              </w:rPr>
              <w:t>$ 0.07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56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$ 0.93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46,500,000</w:t>
            </w: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540" w:right="120" w:hanging="424"/>
        <w:spacing w:after="0" w:line="209" w:lineRule="auto"/>
        <w:tabs>
          <w:tab w:leader="none" w:pos="54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Does not include the reimbursement of certain expenses of the underwriters we have agreed to pay. Please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beginning on page 21 for additional information regarding the total compensation to be received by the underwriters.</w:t>
      </w:r>
    </w:p>
    <w:p>
      <w:pPr>
        <w:spacing w:after="0" w:line="199"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 45-day option to purchase up to an additional 7,500,000 shares of common stock from us at the public offering price, less underwriting discounts and commissions. If the underwriters exercise this option in full, the total underwriting discounts and commissions payable will be $4,025,000 and the total proceeds to us, before expenses, will be $53,475,000.</w:t>
      </w:r>
    </w:p>
    <w:p>
      <w:pPr>
        <w:spacing w:after="0" w:line="17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on or about May 4, 2026.</w:t>
      </w: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Konik Capital Partners</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a division of T.R. Winston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30, 2026.</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65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1380" w:type="dxa"/>
            <w:vAlign w:val="bottom"/>
            <w:tcBorders>
              <w:top w:val="single" w:sz="8" w:color="0000EE"/>
            </w:tcBorders>
            <w:gridSpan w:val="6"/>
          </w:tcPr>
          <w:p>
            <w:pPr>
              <w:spacing w:after="0"/>
              <w:rPr>
                <w:sz w:val="17"/>
                <w:szCs w:val="17"/>
                <w:color w:val="auto"/>
              </w:rPr>
            </w:pPr>
          </w:p>
        </w:tc>
        <w:tc>
          <w:tcPr>
            <w:tcW w:w="5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76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624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6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8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including information incorporated by reference herein, is part of a registration statement that we filed with the U.S. Securities and Exchange Commission, or the SEC, under the Securities Act of 1933, as amended, or the Securities Act. This prospectus provides you with a general description of our Company and the securities offered by 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our securities and the distribution of this prospectus outside of the United States.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registration statement we filed with the SEC includes exhibits that provide more detail of the matters discussed in this prospectus. This prospectus, including information incorporated by reference herein,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You should read this prospectus and the related exhibits filed with the SEC, together with additional information incorporated by reference herein and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 before making your investment decision.</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this prospectus, the information incorporated by reference herein and the registration statement. Neither we nor the underwriters have authorized anyone else to provide you with different or additional information other than this prospectus or information incorporated by reference in this prospectus. If anyone provides you with different or inconsistent information, you should not rely on it. Offers to sell, and solicitations of offers to buy, our common stock are being made only in jurisdictions where offers and sales are permitted. You should assume that the information in this prospectus, or incorporated by reference, is accurate only as of the respective dates of those documents. Our business, financial condition, results of operations and prospects may have changed since those dates.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prospectus summary highlights selected information appearing elsewhere in this prospectus and in documents we file with the SEC that are incorporated by reference in this prospectus. Because it is a summary, it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developing novel therapies for the treatment of orphan pulmonary and fibrosis indications with no approved or limited effective treatments. We currently have two product candidates in clinical development, LTI-03 and LTI-01, and multiple candidates in preclinical development focused on fibrosis indications. Our lead product candidate is LTI-03, a peptide for which we conducted a Phase 1b dose-ranging, placebo-controlled safety, tolerability, and pharmacodynamic biomarker activity trial in development for the treatment of Idiopathic Pulmonary Fibrosis that has demonstrated the ability in both preclinical studies and clinical trials to protect healthy lung epithelial cells and reduce pro-fibrotic signaling. Our second product candidate is LTI-01, a proenzyme that completed a Phase 2a dose-ranging, placebo-controlled trial and a Phase 1b safety, tolerability and proof of mechanism trial in loculated pleural effusion patients, an indication that has no approved drug treatment. In June 2024, we decided to temporarily delay clinical development of LTI-01 in an effort to focus our resources on clinical development of LTI-03 and until additional funds are raised. In the fourth quarter of 2025, we decided to pause development activities related to LTI-01, preclinical programs targeting cystic fibrosis and a peptide program focused on the Cav1 protein for an indefinite period.</w:t>
      </w:r>
    </w:p>
    <w:p>
      <w:pPr>
        <w:spacing w:after="0" w:line="190"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In May 2025, we initiated screening and recruitment of patients in the </w:t>
      </w:r>
      <w:r>
        <w:rPr>
          <w:rFonts w:ascii="Times New Roman" w:cs="Times New Roman" w:eastAsia="Times New Roman" w:hAnsi="Times New Roman"/>
          <w:sz w:val="18"/>
          <w:szCs w:val="18"/>
          <w:i w:val="1"/>
          <w:iCs w:val="1"/>
          <w:color w:val="auto"/>
        </w:rPr>
        <w:t>RENEW</w:t>
      </w:r>
      <w:r>
        <w:rPr>
          <w:rFonts w:ascii="Times New Roman" w:cs="Times New Roman" w:eastAsia="Times New Roman" w:hAnsi="Times New Roman"/>
          <w:sz w:val="18"/>
          <w:szCs w:val="18"/>
          <w:color w:val="auto"/>
        </w:rPr>
        <w:t xml:space="preserve"> Phase 2 clinical trial of LTI-03. We intend to conduct patient recruitment across multiple U.S. clinical sites. The </w:t>
      </w:r>
      <w:r>
        <w:rPr>
          <w:rFonts w:ascii="Times New Roman" w:cs="Times New Roman" w:eastAsia="Times New Roman" w:hAnsi="Times New Roman"/>
          <w:sz w:val="18"/>
          <w:szCs w:val="18"/>
          <w:i w:val="1"/>
          <w:iCs w:val="1"/>
          <w:color w:val="auto"/>
        </w:rPr>
        <w:t>RENEW</w:t>
      </w:r>
      <w:r>
        <w:rPr>
          <w:rFonts w:ascii="Times New Roman" w:cs="Times New Roman" w:eastAsia="Times New Roman" w:hAnsi="Times New Roman"/>
          <w:sz w:val="18"/>
          <w:szCs w:val="18"/>
          <w:color w:val="auto"/>
        </w:rPr>
        <w:t xml:space="preserve"> trial is a Phase 2 multi-center, randomized, double-blind, placebo-controlled study evaluating the safety, tolerability, and efficacy of LTI-03 patients with IPF. In addition, the trial is designed to assess the activity of inhaled dry powder LTI-03 across multiple biomarkers and to measure lung function and the potential for healthy tissue regeneration. The trial is designed to enroll approximately 120 patients diagnosed with IPF within 5 years of screening, who may be receiving standard of care antifibrotic therapy, across up to 50 sites globally, including sites in the United States, United Kingdom, Germany, Austria and Poland. Patients will be randomized into two blinded placebo-controlled cohorts that will run concurrently. Patients in the low dose cohort will receive 2.5 mg of either LTI-03 or placebo administered twice daily, or BID, for a total dose of 5 mg/day, while participants in the high dose cohort will receive 5 mg BID for a total dose of 10 mg/day. The primary endpoint is the incidence of treatment-emergent adverse events from Day 1 through Week 24. The key secondary endpoint is the efficacy of LTI-03 measured through forced vital capacity, percent predicted FVC and high-resolution computer tomography, in collaboration with Qureight Ltd. Patients will undergo a 28-day screening period prior to being randomized and entering the 24-week treatment period, with a four-week follow-up.</w:t>
      </w:r>
    </w:p>
    <w:p>
      <w:pPr>
        <w:spacing w:after="0" w:line="190"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 xml:space="preserve">In August 2025, the UK Medicines and Healthcare products Regulatory Agency authorized us to initiate the </w:t>
      </w:r>
      <w:r>
        <w:rPr>
          <w:rFonts w:ascii="Times New Roman" w:cs="Times New Roman" w:eastAsia="Times New Roman" w:hAnsi="Times New Roman"/>
          <w:sz w:val="17"/>
          <w:szCs w:val="17"/>
          <w:i w:val="1"/>
          <w:iCs w:val="1"/>
          <w:color w:val="auto"/>
        </w:rPr>
        <w:t>RENEW</w:t>
      </w:r>
      <w:r>
        <w:rPr>
          <w:rFonts w:ascii="Times New Roman" w:cs="Times New Roman" w:eastAsia="Times New Roman" w:hAnsi="Times New Roman"/>
          <w:sz w:val="17"/>
          <w:szCs w:val="17"/>
          <w:color w:val="auto"/>
        </w:rPr>
        <w:t xml:space="preserve"> trial in the UK. In October 2025, received authorization from the European Medicines Agency to initiate the Phase 2 “</w:t>
      </w:r>
      <w:r>
        <w:rPr>
          <w:rFonts w:ascii="Times New Roman" w:cs="Times New Roman" w:eastAsia="Times New Roman" w:hAnsi="Times New Roman"/>
          <w:sz w:val="17"/>
          <w:szCs w:val="17"/>
          <w:i w:val="1"/>
          <w:iCs w:val="1"/>
          <w:color w:val="auto"/>
        </w:rPr>
        <w:t>RENEW</w:t>
      </w:r>
      <w:r>
        <w:rPr>
          <w:rFonts w:ascii="Times New Roman" w:cs="Times New Roman" w:eastAsia="Times New Roman" w:hAnsi="Times New Roman"/>
          <w:sz w:val="17"/>
          <w:szCs w:val="17"/>
          <w:color w:val="auto"/>
        </w:rPr>
        <w:t xml:space="preserve">” clinical trial of LTI-03 in Germany and Poland. The </w:t>
      </w:r>
      <w:r>
        <w:rPr>
          <w:rFonts w:ascii="Times New Roman" w:cs="Times New Roman" w:eastAsia="Times New Roman" w:hAnsi="Times New Roman"/>
          <w:sz w:val="17"/>
          <w:szCs w:val="17"/>
          <w:i w:val="1"/>
          <w:iCs w:val="1"/>
          <w:color w:val="auto"/>
        </w:rPr>
        <w:t>RENEW</w:t>
      </w:r>
      <w:r>
        <w:rPr>
          <w:rFonts w:ascii="Times New Roman" w:cs="Times New Roman" w:eastAsia="Times New Roman" w:hAnsi="Times New Roman"/>
          <w:sz w:val="17"/>
          <w:szCs w:val="17"/>
          <w:color w:val="auto"/>
        </w:rPr>
        <w:t xml:space="preserve"> trial is expected to enroll up to 120 patients worldwide, evaluating two dose groups of LTI-03 against a placebo. The primary objective of the trial is to assess safety and tolerability over 24 weeks of treatment. Secondary endpoints will include measures of lung function and imaging-based assessments of fibrosis progression. We resumed patient recruitment in the U.S. in February 2026, and continue site start up across approximately 20 U.S. clinical sites located in Alabama, California, Colorado, Connecticut, Florida, Indiana, Kansas, Massachusetts, Michigan, Missouri, North Carolina, New York, Ohio, South Carolina, and Texas. The U.S. enrollment complements our broader global RENEW</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study, which includes approximately 30 additional sites in the UK, Germany, Poland, and Australia. The trial is designed to evaluate the safety, tolerability, and efficacy of LTI-03 in up to 120 patients with IPF. Key secondary endpoints include changes in lung function (FVC) and imaging-based measures of fibrosis progression. In March 2026, we dosed our first patient in the RENEW Phase 2 program. Initial interim topline data on some proportion of patients is expected in the fourth quarter of 2026.</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In January 2026, we received orphan drug designation from the European Medicines Agency for LTI-03, our lead drug candidate aimed at preserving lung function in patients with idiopathic pulmonary fibrosis.</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 January and February 2026, we entered into separate securities purchase agreements (the “Purchase Agreements”) with three institutional investors pursuant to which we issued and sold to the investors, in a private placement, unsecured promissory notes in the aggregate original principal amount of $5.375 million (the “Notes”). Pursuant to the Purchase Agreements, we issued and sold the Notes to the investors for the aggregate purchase price of $4.3 million, inclusive of an original issue discount of 20%.</w:t>
      </w:r>
    </w:p>
    <w:p>
      <w:pPr>
        <w:spacing w:after="0" w:line="180" w:lineRule="exact"/>
        <w:rPr>
          <w:sz w:val="20"/>
          <w:szCs w:val="20"/>
          <w:color w:val="auto"/>
        </w:rPr>
      </w:pPr>
    </w:p>
    <w:p>
      <w:pPr>
        <w:ind w:left="300" w:right="80" w:firstLine="426"/>
        <w:spacing w:after="0" w:line="276" w:lineRule="auto"/>
        <w:rPr>
          <w:sz w:val="20"/>
          <w:szCs w:val="20"/>
          <w:color w:val="auto"/>
        </w:rPr>
      </w:pPr>
      <w:r>
        <w:rPr>
          <w:rFonts w:ascii="Times New Roman" w:cs="Times New Roman" w:eastAsia="Times New Roman" w:hAnsi="Times New Roman"/>
          <w:sz w:val="17"/>
          <w:szCs w:val="17"/>
          <w:color w:val="auto"/>
        </w:rPr>
        <w:t>The Notes have a stated maturity date of the earlier of (i) the date of the closing of the next issuance and sale of our securities, in a single transaction or series of related transactions, to investors resulting in gross proceeds to us of at least $10 million (exclusive of the Note proceeds) or</w:t>
      </w:r>
    </w:p>
    <w:p>
      <w:pPr>
        <w:spacing w:after="0" w:line="1" w:lineRule="exact"/>
        <w:rPr>
          <w:sz w:val="20"/>
          <w:szCs w:val="20"/>
          <w:color w:val="auto"/>
        </w:rPr>
      </w:pPr>
    </w:p>
    <w:p>
      <w:pPr>
        <w:ind w:left="300" w:right="20" w:hanging="2"/>
        <w:spacing w:after="0" w:line="255" w:lineRule="auto"/>
        <w:tabs>
          <w:tab w:leader="none" w:pos="5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30, 2026. Our obligations under the Notes are unsecured. There is no interest payable under the Notes other than the 20% original issue discount. The Purchase Agreements contained representations, warranties, covenants and other terms customary for agreements of such nature. The Notes will be due and payable upon the close of this offering.</w:t>
      </w:r>
    </w:p>
    <w:p>
      <w:pPr>
        <w:spacing w:after="0" w:line="18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April 30, 2026, we entered into a letter agreement with Bios Partners, L.P., on behalf of certain Bios entities holding securities of our Company (the “Bios Entities”), pursuant to which the Bios Entities agreed to defer the conversion of 12,232 shares (“Preferred Shares”) of Series X Non-Voting Convertible Preferred Stock of our Company held by the Bios Entities, and waive the Company’s obligation in the Certificate of Designation of Series X Non-Voting Convertible Preferred Stock to reserve the shares of common stock (“Underlying Shares”) issuable upon exercise of the Preferred Shares until such time as we have amended our Restated Certificate of Incorporation to increase our authorized shares of common stock. In addition, the Bios Entities have agreed, subject to certain exceptions, not to sell, transfer or dispose of, directly or indirectly, any Preferred Shares or Underlying Shares for a period ending on April 30, 2029. In consideration of the agreements and waivers of the Bios Entities, we have agreed to issue to the Bios Entities at the closing of this offering warrants to purchase 3,000,000 shares of our common stock at an exercise price of $1.00 per share. The warrants to be issued to the Bios Entities shall be on substantially the same terms as the warrants to be issued to the underwriters, except for the exercise price.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6, 2001 under the name Renegade Therapeutics, Inc. We changed our name to Aileron Therapeutics, Inc. in February 2007. On October 31, 2023, we acquired Lung Therapeutics, Inc., or Lung, pursuant to an Agreement and Plan of Merger, after which time Lung became our wholly-owned subsidiary. On January 10, 2025, we changed our name to Rein Therapeutics, Inc., and changed our trading symbol from “ALRN” to “RNTX”, effective January 13, 2025. Our principal executive office is located at 12407 N. Mopac Expy., Suite 250 #390, Austin, Texas 78758, and our telephone number is (737) 802-1989. Our website address is http://www.reintx.com. The information contained on, or that can be accessed through, our website is not a part of this prospectus. We have included our website address in this prospectus solely as an inactive textual reference.</w:t>
      </w:r>
    </w:p>
    <w:p>
      <w:pPr>
        <w:spacing w:after="0" w:line="189"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Rein and other trademarks or service marks of Rein appearing in this prospectus are the property of Rein. The other trademarks, trade names and service marks appearing in this prospectus are the property of their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470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1470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24" w:lineRule="auto"/>
        <w:rPr>
          <w:sz w:val="20"/>
          <w:szCs w:val="20"/>
          <w:color w:val="auto"/>
        </w:rPr>
      </w:pPr>
      <w:r>
        <w:rPr>
          <w:rFonts w:ascii="Times New Roman" w:cs="Times New Roman" w:eastAsia="Times New Roman" w:hAnsi="Times New Roman"/>
          <w:sz w:val="18"/>
          <w:szCs w:val="18"/>
          <w:color w:val="auto"/>
        </w:rPr>
        <w:t xml:space="preserve">respective owners. Solely for convenience, the trademarks and trade names in this prospectus are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2025 as filed with the SEC on March 26, 2026, as described in the section entitled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in this 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9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some of the terms of this offering and is qualified in its entirety by reference to the more detailed information appearing elsewhere in this prospectus. For a more complete description of the terms of our common stock, see “</w:t>
      </w:r>
      <w:r>
        <w:rPr>
          <w:rFonts w:ascii="Times New Roman" w:cs="Times New Roman" w:eastAsia="Times New Roman" w:hAnsi="Times New Roman"/>
          <w:sz w:val="18"/>
          <w:szCs w:val="18"/>
          <w:i w:val="1"/>
          <w:iCs w:val="1"/>
          <w:color w:val="auto"/>
        </w:rPr>
        <w:t>Description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5" w:right="639" w:bottom="1440" w:gutter="0" w:footer="0" w:header="0"/>
        </w:sectPr>
      </w:pP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50,000,000 shares of our common stock (57,500,000 shares if the underwriters exercise their over-allotment option in full).</w:t>
      </w:r>
    </w:p>
    <w:p>
      <w:pPr>
        <w:spacing w:after="0" w:line="18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 per share of common stock.</w:t>
      </w:r>
    </w:p>
    <w:p>
      <w:pPr>
        <w:spacing w:after="0" w:line="20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66" w:lineRule="exact"/>
        <w:rPr>
          <w:sz w:val="20"/>
          <w:szCs w:val="20"/>
          <w:color w:val="auto"/>
        </w:rPr>
      </w:pPr>
    </w:p>
    <w:p>
      <w:pPr>
        <w:ind w:left="4340" w:right="400" w:hanging="403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78,039,032 shares (85,539,032 shares if the underwriters exercise their over-allotment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in full).</w:t>
      </w:r>
    </w:p>
    <w:p>
      <w:pPr>
        <w:spacing w:after="0" w:line="182" w:lineRule="exact"/>
        <w:rPr>
          <w:sz w:val="20"/>
          <w:szCs w:val="20"/>
          <w:color w:val="auto"/>
        </w:rPr>
      </w:pPr>
    </w:p>
    <w:p>
      <w:pPr>
        <w:jc w:val="both"/>
        <w:ind w:left="4340" w:right="200" w:hanging="4036"/>
        <w:spacing w:after="0" w:line="266"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Option to purchase additional shares</w:t>
      </w:r>
      <w:r>
        <w:rPr>
          <w:sz w:val="20"/>
          <w:szCs w:val="20"/>
          <w:color w:val="auto"/>
        </w:rPr>
        <w:tab/>
      </w:r>
      <w:r>
        <w:rPr>
          <w:rFonts w:ascii="Times New Roman" w:cs="Times New Roman" w:eastAsia="Times New Roman" w:hAnsi="Times New Roman"/>
          <w:sz w:val="18"/>
          <w:szCs w:val="18"/>
          <w:color w:val="auto"/>
        </w:rPr>
        <w:t>We have granted the underwriters a 45-day option to purchase up to 7,500,000 additional shares of common stock from us at the public offering price, less underwriting discounts and commissions.</w:t>
      </w:r>
    </w:p>
    <w:p>
      <w:pPr>
        <w:sectPr>
          <w:pgSz w:w="11900" w:h="16838" w:orient="portrait"/>
          <w:cols w:equalWidth="0" w:num="1">
            <w:col w:w="10940"/>
          </w:cols>
          <w:pgMar w:left="320" w:top="455" w:right="639" w:bottom="1440" w:gutter="0" w:footer="0" w:header="0"/>
          <w:type w:val="continuous"/>
        </w:sect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$46.1 million (or approximately $53.1 million if the underwriters exercise their over-allotment option in full), after deducting the underwriting discounts and commissions and the estimated offering expenses payable by us. We expect to use the net proceeds from this offering for working capital and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information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the other risks identified in the documents included or incorporated by reference in this prospectus before deciding to invest in our common stock.</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Lock-up</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underwriting agreement, we have agreed, subject to certain exceptions, not to sell, transfer or dispose of, directly or indirectly, any shares of our capital stock or any securities convertible into or exercisable or exchangeable for shares of capital stock for a period of up to 120 days from the close of this offering.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Stock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“RNTX.”</w:t>
      </w:r>
    </w:p>
    <w:p>
      <w:pPr>
        <w:spacing w:after="0" w:line="20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43"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is based on 28,039,032 shares of common stock outstanding as of March 31, 2026 and excludes:</w:t>
      </w:r>
    </w:p>
    <w:p>
      <w:pPr>
        <w:spacing w:after="0" w:line="67" w:lineRule="exact"/>
        <w:rPr>
          <w:sz w:val="20"/>
          <w:szCs w:val="20"/>
          <w:color w:val="auto"/>
        </w:rPr>
      </w:pPr>
    </w:p>
    <w:p>
      <w:pPr>
        <w:ind w:left="1240" w:right="4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12,232,000 shares of our common stock issuable upon conversion of 12,232 shares of Series X Preferred Stock outstanding as of March 31, 2026;</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6,621,839 shares of our common stock reserved for issuance upon exercise of outstanding warrants, which consist of (i) 726,437 warrants, with an exercise price of $5.66, which expire on May 20, 2029,</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89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0899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61" w:lineRule="auto"/>
        <w:rPr>
          <w:sz w:val="20"/>
          <w:szCs w:val="20"/>
          <w:color w:val="auto"/>
        </w:rPr>
      </w:pPr>
      <w:r>
        <w:rPr>
          <w:rFonts w:ascii="Times New Roman" w:cs="Times New Roman" w:eastAsia="Times New Roman" w:hAnsi="Times New Roman"/>
          <w:sz w:val="18"/>
          <w:szCs w:val="18"/>
          <w:color w:val="auto"/>
        </w:rPr>
        <w:t>which were issued in October 2023, (ii) 255,000 warrants, with an exercise price of $4.89 per share, which expire on May 2, 2027, which were issued in November 2023, (iii) 3,388,707 warrants, with an exercise price of $4.68 per share, which expire on May 3, 2027, which were issued in May 2024; (iv) 1,939,000 warrants, with an exercise price of $0.001 per share, which were issued in April 2025; and (v) 312,695 warrants, with an exercise price of $0.001 per share, which were issued in April 2025;</w:t>
      </w:r>
    </w:p>
    <w:p>
      <w:pPr>
        <w:spacing w:after="0" w:line="85" w:lineRule="exact"/>
        <w:rPr>
          <w:sz w:val="20"/>
          <w:szCs w:val="20"/>
          <w:color w:val="auto"/>
        </w:rPr>
      </w:pPr>
    </w:p>
    <w:p>
      <w:pPr>
        <w:ind w:left="1240" w:right="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3,143,997 shares of our common stock issuable upon the exercise of stock options outstanding as of March 31, 2026, at a weighted average exercise price of $5.21 per share;</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2,106,194 additional shares of our common stock available for future issuance as of March 31, 2026 under our 2021 Stock Incentive Plan, as amended, or the 2021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our common stock available for future issuance as of March 31, 2026 under our 2017 Employee Stock Purchase Plan;</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additional shares of our common stock reserved for issuance upon exercise of warrants, with an exercise price of $1.00 per share, which will be issued to the Bios Entities at the close of this offering;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additional shares of our common stock (1,725,000 additional shares if the underwriters exercise their overallotment option in full) reserved for issuance upon exercise of warrants, with an exercise price of $1.50 per share, which will be issued to the representative of the underwriters at the close of this offering.</w:t>
      </w:r>
    </w:p>
    <w:p>
      <w:pPr>
        <w:spacing w:after="0" w:line="176"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(i) no exercise of the outstanding options and warrants or and no conversion of outstanding Series X Preferred Stock, in each case as described above and (ii) no exercise by the underwriters of their option to purchase up to an additional 7,500,000 shares of common stock.</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consider carefully the risks below and the risk and uncertainties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our Annual Report on Form 10-K for the fiscal year ended December 31, 2025, which is incorporated by reference in this prospectus, including our audited financial statements and the related notes, before you decide whether to purchase our common stock. If any of such risks actually occur, our business, financial condition, results of operations, cash flow and prospects could be materially and adversely affected. As a result, the trading price of our common stock could decline and you could lose all or part of your investment in our common stock.</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117"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public offering price of our common stock offered hereby is substantially higher than the net tangible book value per share of our outstanding common stock following this offering, new investors will experience immediate and substantial dilution.</w:t>
      </w:r>
    </w:p>
    <w:p>
      <w:pPr>
        <w:spacing w:after="0" w:line="159"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public offering price per share of common stock in this offering is substantially higher than the net tangible book value per share of our common stock before giving effect to this offering. Accordingly, if you purchase common stock in this offering, you will incur immediate and substantial dilution of approximately $0.52 per share, representing the difference between the public offering price per share of common stock and our as adjusted net tangible book value as of December 31, 2025. In addition, if our outstanding options or warrants are exercised, you could experience further dilution. See “</w:t>
      </w:r>
      <w:r>
        <w:rPr>
          <w:rFonts w:ascii="Times New Roman" w:cs="Times New Roman" w:eastAsia="Times New Roman" w:hAnsi="Times New Roman"/>
          <w:sz w:val="17"/>
          <w:szCs w:val="17"/>
          <w:i w:val="1"/>
          <w:iCs w:val="1"/>
          <w:color w:val="auto"/>
        </w:rPr>
        <w:t>Dilution</w:t>
      </w:r>
      <w:r>
        <w:rPr>
          <w:rFonts w:ascii="Times New Roman" w:cs="Times New Roman" w:eastAsia="Times New Roman" w:hAnsi="Times New Roman"/>
          <w:sz w:val="17"/>
          <w:szCs w:val="17"/>
          <w:color w:val="auto"/>
        </w:rPr>
        <w:t>” for a more detailed discussion of the dilution you will incur if you purchase shares of our common stock in this offering.</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 an investor, you may lose all of your investment.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As an investor, you may never recoup all, or even part, of your investment and you may never realize any return on your investment. You must be prepared to lose all of your investment.</w:t>
      </w:r>
    </w:p>
    <w:p>
      <w:pPr>
        <w:spacing w:after="0" w:line="266"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have broad discretion and flexibility in how the net proceeds from this offering are used, we may use the net proceeds in ways in which you disagree</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288"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financing following this offering to execute our business plan and fund operations, which additional financing may not be available on reasonable terms, or at all.</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$3.2 million in cash and a working capital deficit of approximately $1.9 million. We believe that the net proceeds of this offering, plus our cash on-hand as of the date of this prospectus, is sufficient to fund our proposed operating plan through at least April 2027.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in the development and clinical study of our lead product candidate, LTI-03, and other product candidates. Our audited consolidated financial statements have been prepared assuming that we will continue to operate as a going concern, which contemplates the realization of assets and the satisfaction of liabilities in the normal course of business; however, our current liabilities exceeded our current assets as of December 31, 2025. To date, we have not generated product revenues from our activities and have incurred substantial operating losses. We expect that we will continue to generate substantial operating losses for the foreseeable future until we are able to complete development and potentially receive approval of one or more of our product candidates. We expect to continue to fund our operations primarily through utilization of our current financial resources and we will require additional funding of capital in the near term.</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 Obtaining additional financing contains risks, including:</w:t>
      </w:r>
    </w:p>
    <w:p>
      <w:pPr>
        <w:spacing w:after="0" w:line="85" w:lineRule="exact"/>
        <w:rPr>
          <w:sz w:val="20"/>
          <w:szCs w:val="20"/>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financing may not be available to us on satisfactory terms and any equity we are able to issue could lead to dilution for current stockholders;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other debt instruments may have unfavorable terms and/or conditions, such as interest rate, restrictive covenants and control or revocation provisions;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environment in capital markets combined with our capital constraints may prevent us from being able to obtain adequate debt financing;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required additional financing to grow our business, we may need to seek bankruptcy protection in the near term.</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future sales may occur, may cause our stock price to decline.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an At the Market Offering Agreement, dated May 15, 2025, with H.C. Wainwright &amp; Co., LLC, or HCW, pursuant to which we may sell from time to time up to $8.1 million of our common stock through or to HCW. The shares of our common stock issuable by us pursuant to the ATM facility are subject to a registration statement that allows for the sale of the registered shares into the public market. Sales of a substantial number of shares of our common stock in the public market, or the perception that these sales could occur, following this offering could cause the market price of our common stock to decline. A substantial majority of the outstanding shares of our common stock are, and the shares of common stock sold in this offering upon issuance will be, freely tradable without restriction or further registration under the Securities Act.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shares is subject to fluctuation and volatility.</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could lose all or part of your investment. The market price of our common stock is subject to wide fluctuations in response to various factors, some of which are beyond our control. These factors include:</w:t>
      </w:r>
    </w:p>
    <w:p>
      <w:pPr>
        <w:spacing w:after="0" w:line="67" w:lineRule="exact"/>
        <w:rPr>
          <w:sz w:val="20"/>
          <w:szCs w:val="20"/>
          <w:color w:val="auto"/>
        </w:rPr>
      </w:pPr>
    </w:p>
    <w:p>
      <w:pPr>
        <w:ind w:left="1080" w:right="2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LTI-03 or any other product candidates or additional indications thereof, or limitations to specific label indications or patient populations for its use, or changes or delays in the regulatory review process;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9"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concerning the progress and results of our clinical trials, our ability to potentially obtain regulatory approval for and commercialize LTI-03 or any other product candidates, including any requests we receive from the FDA for additional studies or data that result in delays in potentially obtaining regulatory approval or potentially launching LTI-03 or any other product candidates, if approved;</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or the economy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future 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LTI-03 or any other product candidates, if approved, to achieve commercial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introduction of new products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product development results or intellectual property rights of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LTI-03 or any other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fluctuations in our quarterly operating results, and concerns by investors that such fluctuations may occur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in our operating results from the estimates of securities analysts or other analyst comments;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pursuant to our current ATM facility with HCW;</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 including measures directed at controlling the pricing of pharmaceutical products, and third-party coverage and reimbursement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current or future strategic collaborations;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and scientific press and in online investor communities.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dividends in the foreseeable future. As a result, you must rely on stock appreciation for any return on your investment.</w:t>
      </w:r>
    </w:p>
    <w:p>
      <w:pPr>
        <w:spacing w:after="0" w:line="13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also depend on our financial condition, results of operations, capital requirements and other factors, and will be at the discretion of our board of directors. Accordingly, you will have to rely on capital appreciation, if any, to earn a return on your investment in our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Certain statements in this prospectus may constitute “forward-looking statements” for purposes of the federal securities laws. Our forward-looking statements include, but are not limited to, statements regarding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LTI-03, including the potential benefits thereof;</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sufficient additional capital in the near term or implement other strategies needed to alleviate our current substantial doubt about our ability to continue as a going concern;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our planned activities, and capital expenditure requirements with our cash, cash equivalents and investments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 clinical trial of LTI-03 and our ability to re-start and complete such clinical trial, subject to obtaining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further delay clinical development of LTI-01 for an undetermined period of time until additional funds are raised;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drug research and development in the area of fibrotic diseases, with a focus on Caveolin-1, or Cav1, related peptides, and our ability to develop marketable products;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clinical trials for LTI-03, whether conducted by us or by any future collaborators, including our ability to enroll patients in our clinical trials, the timing of initiation of these trials and of the anticipated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remediation efforts related to the material weaknesses identified in our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marketing approvals for LTI-03;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 and our ability to obtain, maintain and enforce intellectual property rights for our platform and development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with significant commercial potential;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enter into collaborations for the development and commercialization of LTI-03, LTI-01 and any additional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manufacturing and supply vendors and contract research organizations, or CROs;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benefits of any future collaboration;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including inflation and the imposition of new or revised tariffs or other trade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from this offering.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current expectations and beliefs concerning future developments and their potential effects on the Company.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our periodic filings with the SEC. Our SEC filings are available publicly on the SEC website at www.sec.gov.</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Accordingly, forward-looking statements in this prospectus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$46.1 million (or approximately $53.1 million if the underwriters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exercise their over-allotment option in full), after deducting the underwriting discounts and commissions and estimated offering expenses payable by us.</w:t>
      </w:r>
    </w:p>
    <w:p>
      <w:pPr>
        <w:spacing w:after="0" w:line="21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expect to use the net proceeds from this offering for working capital and general corporate purposes, including the repayment of $5.375 million under our Notes issued in January and February 2026.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elsewhere in this prospectus or in the information incorporated by reference herein. As a result, our management will have broad discretion in the application of the net proceeds, and investors will be relying on our judgment regarding the application of the net proceeds from this offering.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capital stock is not intended to be a complete summary of the rights and preferences of such securities. We urge you to read our restated certificate of incorporation, as amended, or certificate of incorporation, and our amended and</w:t>
      </w:r>
    </w:p>
    <w:p>
      <w:pPr>
        <w:ind w:left="120" w:right="100"/>
        <w:spacing w:after="0" w:line="260" w:lineRule="auto"/>
        <w:rPr>
          <w:sz w:val="20"/>
          <w:szCs w:val="20"/>
          <w:color w:val="auto"/>
        </w:rPr>
      </w:pPr>
      <w:r>
        <w:rPr>
          <w:rFonts w:ascii="Times New Roman" w:cs="Times New Roman" w:eastAsia="Times New Roman" w:hAnsi="Times New Roman"/>
          <w:sz w:val="18"/>
          <w:szCs w:val="18"/>
          <w:i w:val="1"/>
          <w:iCs w:val="1"/>
          <w:color w:val="auto"/>
        </w:rPr>
        <w:t>restated by-laws, or by-laws, each as amended from time to time, in their entirety for a complete description of the rights and preferences of our capital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authorized to issue 100,000,000 shares of common stock, par value $0.001 per share. As of March 31, 2026, there are 28,039,032 shares of common stock issued and outstanding.</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have cumulative voting rights. An election of directors by our stockholders will be determined by a plurality of the votes cast by the stockholders entitled to vote on the election. Any matter other than the election of directors to be voted upon by the stockholders will be decided by the affirmative vote of our stockholders having a majority in voting power of the votes cast by the stockholders present or represented and voting on such matter, except when a different vote is required by law, our certificate of incorporation or our by-laws.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Record Holders. </w:t>
      </w:r>
      <w:r>
        <w:rPr>
          <w:rFonts w:ascii="Times New Roman" w:cs="Times New Roman" w:eastAsia="Times New Roman" w:hAnsi="Times New Roman"/>
          <w:sz w:val="18"/>
          <w:szCs w:val="18"/>
          <w:color w:val="auto"/>
        </w:rPr>
        <w:t>As of March 31, 2026, our outstanding shares of common stock were held of record by 115 stockholders.</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are entitled to receive proportionately any dividends as may be declared and paid on our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funds lawfully available therefore as and when determined by our board of directors, subject to any preferential dividend rights of outstanding preferred stock.</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Liquidation and Dissolution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our liquidation or dissolution, the holders of our common stock are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proportionately all assets available for distribution to stockholders after the payment of all debts and other liabilities and subject to the prior rights of any outstanding preferred stock.</w:t>
      </w:r>
    </w:p>
    <w:p>
      <w:pPr>
        <w:spacing w:after="0" w:line="17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have no preemptive, subscription, redemption or conversion rights. The rights, preferences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privileges of holders of our common stock are subject to and may be adversely affected by the rights of the holders of shares of any series of preferred stock that we may designate and issue in the future. Outstanding shares of our common stock are non-assessable. Holders of our common stock are not, and will not be, subject to any liability as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authorized to issue 5,000,000 shares of preferred stock, par value $0.001 per share, of which 24,847 shares have been designated as Series X Non-Voting Convertible Preferred Stock, par value $0.001 per share, or the Series X Preferred Stock.</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Series X Preferred Stock</w:t>
      </w:r>
    </w:p>
    <w:p>
      <w:pPr>
        <w:spacing w:after="0" w:line="121" w:lineRule="exact"/>
        <w:rPr>
          <w:sz w:val="20"/>
          <w:szCs w:val="20"/>
          <w:color w:val="auto"/>
        </w:rPr>
      </w:pPr>
    </w:p>
    <w:p>
      <w:pPr>
        <w:ind w:left="120" w:right="600" w:firstLine="44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preferences and privileges of the Series X Preferred Stock are summarized below. A more complete description of the Series X Preferred Stock is set forth in the </w:t>
      </w:r>
      <w:hyperlink r:id="rId31">
        <w:r>
          <w:rPr>
            <w:rFonts w:ascii="Times New Roman" w:cs="Times New Roman" w:eastAsia="Times New Roman" w:hAnsi="Times New Roman"/>
            <w:sz w:val="17"/>
            <w:szCs w:val="17"/>
            <w:u w:val="single" w:color="auto"/>
            <w:color w:val="0000EE"/>
          </w:rPr>
          <w:t>Certificate of Designation of Series X Non-Voting Convertible Preferred Stock</w:t>
        </w:r>
      </w:hyperlink>
      <w:r>
        <w:rPr>
          <w:rFonts w:ascii="Times New Roman" w:cs="Times New Roman" w:eastAsia="Times New Roman" w:hAnsi="Times New Roman"/>
          <w:sz w:val="17"/>
          <w:szCs w:val="17"/>
          <w:color w:val="auto"/>
        </w:rPr>
        <w:t>, or Certificate of Designation.</w:t>
      </w:r>
    </w:p>
    <w:p>
      <w:pPr>
        <w:spacing w:after="0" w:line="13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share of Series X Preferred Stock outstanding is convertible at any time at the option of the holder into 1,000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subject to certain beneficial ownership limitations, including that a holder of Series X Preferred Stock is prohibited from converting shares of Series X Preferred Stock into shares 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common stock if, as a result of such conversion, such holder (together with its affiliates and any other persons acting as a group together with the holder or any of its affiliates) would beneficially own more than a specified percentage (to be initially set at 19.99% and thereafter adjusted by the holder to a number not to exceed 19.99%) of the total number of shares of common stock issued and outstanding immediately after giving effect to such conversion.</w:t>
      </w:r>
    </w:p>
    <w:p>
      <w:pPr>
        <w:spacing w:after="0" w:line="15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Except as otherwise required by law, the Series X Preferred Stock does not have voting rights. However, as long as any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X Preferred Stock are outstanding, we will not, without the affirmative vote of the holders of a majority of the then outstanding shares of the Series X Preferred Stock, (i) alter or change adversely the powers, preferences or rights given to the Series X Preferred Stock or alter or amend the Certificate of Designation, amend or repeal any provision of, or add any provision to, our certificate of incorporation or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X Preferred Stock, (ii) issue further shares of Series X Preferred Stock or increase or decrease (other than by conversion) the number of authorized shares of Series X Preferred Stock, or (iii) enter into any agreement with respect to any of the foregoing.</w:t>
      </w:r>
    </w:p>
    <w:p>
      <w:pPr>
        <w:spacing w:after="0" w:line="185" w:lineRule="exact"/>
        <w:rPr>
          <w:sz w:val="20"/>
          <w:szCs w:val="20"/>
          <w:color w:val="auto"/>
        </w:rPr>
      </w:pPr>
    </w:p>
    <w:p>
      <w:pPr>
        <w:ind w:left="120" w:right="16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Holders of Series X Preferred Stock are entitled to receive dividends on shares of Series X Preferred Stock equal,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 as-converted-to-common-stock basis, and in the same form as dividends actually paid on shares of the common stock.</w:t>
      </w:r>
    </w:p>
    <w:p>
      <w:pPr>
        <w:spacing w:after="0" w:line="155" w:lineRule="exact"/>
        <w:rPr>
          <w:sz w:val="20"/>
          <w:szCs w:val="20"/>
          <w:color w:val="auto"/>
        </w:rPr>
      </w:pPr>
    </w:p>
    <w:p>
      <w:pPr>
        <w:ind w:left="120" w:right="1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and Dissolution. </w:t>
      </w:r>
      <w:r>
        <w:rPr>
          <w:rFonts w:ascii="Times New Roman" w:cs="Times New Roman" w:eastAsia="Times New Roman" w:hAnsi="Times New Roman"/>
          <w:sz w:val="18"/>
          <w:szCs w:val="18"/>
          <w:color w:val="auto"/>
        </w:rPr>
        <w:t>The Series X Preferred Stock ranks on parity with common stock upon any such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or winding-up.</w:t>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Subject to limitations prescribed by Delaware law and the rights of the Series X Preferred Stock, our board of directors may issue preferred stock in one or more series, establish from time to time the number of shares to be included in each series, and determine for each such series of preferred stock the voting powers, designations, preferences, and special rights, qualifications, limitations, or restrictions as permitted by law, in each case without further vote of action by our stockholders. Our board of directors may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additional shares of preferred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and By-laws and Delaware General Corporation Law</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provisions in our certificate of incorporation and by-laws:</w:t>
      </w:r>
    </w:p>
    <w:p>
      <w:pPr>
        <w:spacing w:after="0" w:line="131" w:lineRule="exact"/>
        <w:rPr>
          <w:sz w:val="20"/>
          <w:szCs w:val="20"/>
          <w:color w:val="auto"/>
        </w:rPr>
      </w:pPr>
    </w:p>
    <w:p>
      <w:pPr>
        <w:ind w:left="5540" w:right="4360" w:hanging="4884"/>
        <w:spacing w:after="0" w:line="454" w:lineRule="auto"/>
        <w:tabs>
          <w:tab w:leader="none" w:pos="10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with staggered three-year terms; 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stockholders’ proposals to be brought before an annual meeting,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director may be removed only for cause and only by the affirmative vote of the holders of at least 75% of the votes that all of our stockholders would be entitled to cast in an annual election of directors;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may be filled by the affirmative vote of a majority of directors then in office, even if less than a quorum.</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does not have jurisdiction, the federal district court for the District of Delaware) shall be the sole and exclusive forum for (i) any derivative action or proceeding brought on our behalf, (ii) any action asserting a claim of breach of a fiduciary duty owed by any of our directors, officers or employees to our company or stockholders, (iii) any action asserting a claim against us arising pursuant to any provision of the DGCL or our certificate of incorporation or by-laws, or (iv) any action asserting a claim against us governed by the internal affairs doctrine. These choice of forum provisions will not apply to claims arising under the Securities Act, the Exchange Act or any other claim for which federal courts have exclusive jurisdiction.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“RNTX.”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our sale of unsecured promissory notes in the aggregate original principal amount of $5.375 million (the “Notes”) in January and February 2026 and our receipt of the aggregate purchase price of $4.3 million;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in addition, our sale of 50,000,000 shares of common stock in this offering at the public offering price of $1.00 per share, after deducting underwriting discounts and commissions and estimated offering expenses payable by us, and our repayment of Notes.</w:t>
      </w:r>
    </w:p>
    <w:p>
      <w:pPr>
        <w:spacing w:after="0" w:line="176"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You should read the information in this table together with our consolidated financial statements and related notes and “Management’s Discussion and Analysis of Financial Condition and Results of Operations” appearing in our Annual Report on Form 10-K for the year ended December 31, 2025.</w:t>
      </w:r>
    </w:p>
    <w:p>
      <w:pPr>
        <w:spacing w:after="0" w:line="14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98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3,215</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7,515</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Unsecured promissory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5,000,000 shares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at December 31, 2025; 24,610 shares issued and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12,232 shares outstanding at December 31, 2025, pro forma and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45,005</w:t>
            </w: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45,005</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27,550,222 shares issued and outstanding, actual; 27,550,222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pro forma; 57,550,222 shares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pro forma as adjusted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113</w:t>
            </w: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373,133</w:t>
            </w:r>
          </w:p>
        </w:tc>
        <w:tc>
          <w:tcPr>
            <w:tcW w:w="580" w:type="dxa"/>
            <w:vAlign w:val="bottom"/>
          </w:tcPr>
          <w:p>
            <w:pPr>
              <w:spacing w:after="0"/>
              <w:rPr>
                <w:sz w:val="18"/>
                <w:szCs w:val="18"/>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373,133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6"/>
              </w:rPr>
              <w:t>(401,271)</w:t>
            </w:r>
          </w:p>
        </w:tc>
        <w:tc>
          <w:tcPr>
            <w:tcW w:w="58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6"/>
              </w:rPr>
              <w:t>(401,271)</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(401,271)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 and 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16,918</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16,918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16,918</w:t>
            </w:r>
          </w:p>
        </w:tc>
        <w:tc>
          <w:tcPr>
            <w:tcW w:w="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22,293</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expected to be outstanding after this offering is based on 27,550,222 shares of common stock outstanding as of December 31, 2025, and excludes the following:</w:t>
      </w:r>
    </w:p>
    <w:p>
      <w:pPr>
        <w:spacing w:after="0" w:line="67" w:lineRule="exact"/>
        <w:rPr>
          <w:sz w:val="20"/>
          <w:szCs w:val="20"/>
          <w:color w:val="auto"/>
        </w:rPr>
      </w:pPr>
    </w:p>
    <w:p>
      <w:pPr>
        <w:ind w:left="1080" w:right="760" w:hanging="424"/>
        <w:spacing w:after="0" w:line="282" w:lineRule="auto"/>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12,232,000 shares of our common stock issuable upon conversion of 12,232 shares of Series X Preferred Stock outstanding as of December 31, 2025;</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6,621,839 shares of our common stock reserved for issuance upon exercise of outstanding warrants, which consist of (i) 726,437 warrants, with an exercise price of $5.66, which expire on May 20, 2029,</w:t>
      </w:r>
    </w:p>
    <w:p>
      <w:pPr>
        <w:spacing w:after="0" w:line="134" w:lineRule="exact"/>
        <w:rPr>
          <w:rFonts w:ascii="Times New Roman" w:cs="Times New Roman" w:eastAsia="Times New Roman" w:hAnsi="Times New Roman"/>
          <w:sz w:val="18"/>
          <w:szCs w:val="18"/>
          <w:color w:val="auto"/>
        </w:rPr>
      </w:pPr>
    </w:p>
    <w:p>
      <w:pPr>
        <w:ind w:left="540" w:right="26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 pro forma column gives effect to our sale of the Notes in the aggregate principal amount of $5.375 million and our receipt of the aggregate purchase price of $4.3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-307975</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jc w:val="both"/>
        <w:ind w:left="540" w:right="280" w:hanging="424"/>
        <w:spacing w:after="0" w:line="214" w:lineRule="auto"/>
        <w:tabs>
          <w:tab w:leader="none" w:pos="5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pro forma as adjusted column gives effect to our sale of 50,000,000 shares of common stock in this offering at the public offering price of $1.00 per share, after deducting underwriting discounts and commissions and estimated offering expenses payable by us, and our repayment of Notes</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61" w:lineRule="auto"/>
        <w:rPr>
          <w:sz w:val="20"/>
          <w:szCs w:val="20"/>
          <w:color w:val="auto"/>
        </w:rPr>
      </w:pPr>
      <w:r>
        <w:rPr>
          <w:rFonts w:ascii="Times New Roman" w:cs="Times New Roman" w:eastAsia="Times New Roman" w:hAnsi="Times New Roman"/>
          <w:sz w:val="18"/>
          <w:szCs w:val="18"/>
          <w:color w:val="auto"/>
        </w:rPr>
        <w:t>which were issued in October 2023, (ii) 255,000 warrants, with an exercise price of $4.89 per share, which expire on May 2, 2027, which were issued in November 2023, (iii) 3,388,707 warrants, with an exercise price of $4.68 per share, which expire on May 3, 2027, which were issued in May 2024; (iv) 1,939,000 warrants, with an exercise price of $0.001 per share, which were issued in April 2025; and (v) 312,695 warrants, with an exercise price of $0.001 per share, which were issued in April 2025;</w:t>
      </w:r>
    </w:p>
    <w:p>
      <w:pPr>
        <w:spacing w:after="0" w:line="85" w:lineRule="exact"/>
        <w:rPr>
          <w:sz w:val="20"/>
          <w:szCs w:val="20"/>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3,143,997 shares of our common stock issuable upon the exercise of stock options outstanding as of December 31, 2025, at a weighted average exercise price of $5.21 per share;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1,914,194 additional shares of our common stock available for future issuance as of December 31, 2025 under our 2021 Stock Incentive Plan, as amended, or the 2021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our common stock available for future issuance as of December 31, 2025 under our 2017 Employee Stock Purchase Plan;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additional shares of our common stock reserved for issuance upon exercise of warrants, with an exercise price of $1.00 per share, which will be issued to the Bios Entities at the close of this offering;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additional shares of our common stock (1,725,000 additional shares if the underwriters exercise their overallotment option in full) reserved for issuance upon exercise of warrants, with an exercise price of $1.50 per share, which will be issued to the representative of the underwriters at the close of this offering.</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(i) no exercise of the outstanding options and warrants and no conversion of outstanding Series X Preferred Stock, in each case as described above and (ii) no exercise by the underwriter of its option to purchase up to an additional 7,500,000 shares of common stock. The exercise of outstanding options or warrants, or conversion of Series X Preferred Stock, having an exercise or conversion price less than the offering price would increase dilution to investors participating in this offering. To the extent that additional capital is raised through our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 Net tangible book value per share is equal to our total tangible assets, less our total liabilities, divided by the total number of shares of our common stock outstanding.</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net tangible book (deficit) as of December 31, 2025 was approximately $(2.91) million, or approximately $(0.11) per share. Net tangible book deficit is determined by subtracting our total liabilities from our total tangible assets, and net tangible book deficit per share is determined by dividing our net tangible book deficit by the number of outstanding shares of our common stock. After giving effect to the sale of 50,000,000 shares of our common stock in this offering at the public offering price of $1.00 per share, and after deducting the underwriting discounts and commissions and estimated offering expenses payable by us, and after giving effect to the repayment of $5.375 million under the 2026 Notes, our adjusted net tangible book value as of December 31, 2025 would have been approximately $37.84 million, or approximately $0.48 per share. This represents an immediate increase in net tangible book value of approximately $0.59 per share to our existing stockholders and an immediate dilution in net tangible book value of approximately $0.52 per share to investors participating in this offering. The following table illustrates this calculation on a per share basis: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(deficit) per share as of December 31, 2025</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participating in</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this offering</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0.59</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tangible book value per share after giving effect to this offering</w:t>
            </w:r>
          </w:p>
        </w:tc>
        <w:tc>
          <w:tcPr>
            <w:tcW w:w="1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0.52</w:t>
            </w:r>
          </w:p>
        </w:tc>
      </w:tr>
      <w:tr>
        <w:trPr>
          <w:trHeight w:val="20"/>
        </w:trPr>
        <w:tc>
          <w:tcPr>
            <w:tcW w:w="6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the underwriters exercise their option in full to purchase an additional 7,500,000 shares of common stock at the public offering price of $1.00 per share, our adjusted net tangible book value as of December 31, 2025, after giving effect to this offering, would have been approximately $0.52 per share, representing an increase in net tangible book value of approximately $0.63 per share to existing stockholders and immediate dilution in net tangible book value of approximately $0.48 per share to investors participating in this offering.</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expected to be outstanding after this offering is based on 27,550,222 shares of common stock outstanding as of December 31, 2025, and excludes the following:</w:t>
      </w:r>
    </w:p>
    <w:p>
      <w:pPr>
        <w:spacing w:after="0" w:line="67" w:lineRule="exact"/>
        <w:rPr>
          <w:sz w:val="20"/>
          <w:szCs w:val="20"/>
          <w:color w:val="auto"/>
        </w:rPr>
      </w:pPr>
    </w:p>
    <w:p>
      <w:pPr>
        <w:ind w:left="1080" w:right="7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12,232,000 shares of our common stock issuable upon conversion of 12,232 shares of Series X Preferred Stock outstanding as of December 31, 2025;</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6,621,839 shares of our common stock reserved for issuance upon exercise of outstanding warrants, which consist of (i) 726,437 warrants, with an exercise price of $5.66, which expire on May 20, 2029, which were issued in October 2023, (ii) 255,000 warrants, with an exercise price of $4.89 per share, which expire on May 2, 2027, which were issued in November 2023, (iii) 3,388,707 warrants, with an exercise price of $4.68 per share, which expire on May 3, 2027, which were issued in May 2024; (iv) 1,939,000 warrants, with an exercise price of $0.001 per share, which were issued in April 2025; and (v) 312,695 warrants, with an exercise price of $0.001 per share, which were issued in April 2025;</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3,143,997 shares of our common stock issuable upon the exercise of stock options outstanding as of December 31, 2025, at a weighted average exercise price of $5.21 per share;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1,914,194 additional shares of our common stock available for future issuance as of December 31, 2025 under our 2021 Stock Incentive Plan, as amended, or the 2021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shares of our common stock available for future issuance as of December 31, 2025 under our 2017 Employee Stock Purchase Plan;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additional shares of our common stock reserved for issuance upon exercise of warrants, with an exercise price of $1.00 per share, which will be issued to the Bios Entities at the close of this offering;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additional shares of our common stock (1,725,000 additional shares if the underwriters exercise their overallotment option in full) reserved for issuance upon exercise of warrants, with an exercise price of $1.50 per share, which will be issued to the representative of the underwriters at the close of this offering.</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(i) no exercise of the outstanding options and warrants and no conversion of outstanding Series X Preferred Stock, in each case as described above and (ii) no exercise by the underwriters of their option to purchase up to an additional 7,500,000 shares of common stock. The exercise of outstanding options or warrants, or conversion of Series X Preferred Stock, having an exercise or conversion price less than the offering price would increase dilution to investors participating in this offering. To the extent that additional capital is raised through our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shares of common stock as of March 31, 2026 by:</w:t>
      </w:r>
    </w:p>
    <w:p>
      <w:pPr>
        <w:spacing w:after="0" w:line="131" w:lineRule="exact"/>
        <w:rPr>
          <w:sz w:val="20"/>
          <w:szCs w:val="20"/>
          <w:color w:val="auto"/>
        </w:rPr>
      </w:pPr>
    </w:p>
    <w:p>
      <w:pPr>
        <w:ind w:left="1080" w:right="6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five percent (5%) of our issued and outstanding shares of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beneficial ownership of each person was calculated based on 28,039,032 shares of common stock issued and outstanding as of March 31, 2026. 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March 31, 2026, pursuant to the exercise of options or warrants or the conversion of notes, debentures or other indebtedness. Two or more persons might count as beneficial owners of the same share. Except as otherwise set forth below, the address of the beneficial owner is c/o Rein Therapeutics, Inc., 12407 N. Mopac Expy., Suite 250 #390, Austin, Texas 78758.</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 or Executive Officer</w:t>
            </w:r>
          </w:p>
        </w:tc>
        <w:tc>
          <w:tcPr>
            <w:tcW w:w="258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2180" w:type="dxa"/>
            <w:vAlign w:val="bottom"/>
            <w:gridSpan w:val="3"/>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340" w:type="dxa"/>
            <w:vAlign w:val="bottom"/>
            <w:gridSpan w:val="3"/>
          </w:tcPr>
          <w:p>
            <w:pPr>
              <w:jc w:val="center"/>
              <w:ind w:left="14"/>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65"/>
        </w:trPr>
        <w:tc>
          <w:tcPr>
            <w:tcW w:w="2360" w:type="dxa"/>
            <w:vAlign w:val="bottom"/>
            <w:tcBorders>
              <w:bottom w:val="single" w:sz="8" w:color="auto"/>
            </w:tcBorders>
            <w:gridSpan w:val="4"/>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80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spacing w:after="0"/>
              <w:rPr>
                <w:sz w:val="13"/>
                <w:szCs w:val="13"/>
                <w:color w:val="auto"/>
              </w:rPr>
            </w:pPr>
          </w:p>
        </w:tc>
        <w:tc>
          <w:tcPr>
            <w:tcW w:w="144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94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8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5"/>
            <w:vMerge w:val="continue"/>
            <w:shd w:val="clear" w:color="auto" w:fill="CCEEFF"/>
          </w:tcPr>
          <w:p>
            <w:pPr>
              <w:spacing w:after="0"/>
              <w:rPr>
                <w:sz w:val="17"/>
                <w:szCs w:val="17"/>
                <w:color w:val="auto"/>
              </w:rPr>
            </w:pPr>
          </w:p>
        </w:tc>
        <w:tc>
          <w:tcPr>
            <w:tcW w:w="800" w:type="dxa"/>
            <w:vAlign w:val="bottom"/>
            <w:tcBorders>
              <w:left w:val="single" w:sz="8" w:color="CCEEFF"/>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1,057,691</w:t>
            </w:r>
          </w:p>
        </w:tc>
        <w:tc>
          <w:tcPr>
            <w:tcW w:w="74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34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Josef H. von Rickenbach</w:t>
            </w:r>
          </w:p>
        </w:tc>
        <w:tc>
          <w:tcPr>
            <w:tcW w:w="8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7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Reinhard J. Ambros, Ph.D.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w:t>
            </w:r>
          </w:p>
        </w:tc>
        <w:tc>
          <w:tcPr>
            <w:tcW w:w="1700" w:type="dxa"/>
            <w:vAlign w:val="bottom"/>
            <w:gridSpan w:val="2"/>
          </w:tcPr>
          <w:p>
            <w:pPr>
              <w:jc w:val="right"/>
              <w:ind w:right="30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Fairey</w:t>
            </w:r>
          </w:p>
        </w:tc>
        <w:tc>
          <w:tcPr>
            <w:tcW w:w="8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58,195</w:t>
            </w:r>
          </w:p>
        </w:tc>
        <w:tc>
          <w:tcPr>
            <w:tcW w:w="17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Alan A. Musso</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58,195</w:t>
            </w:r>
          </w:p>
        </w:tc>
        <w:tc>
          <w:tcPr>
            <w:tcW w:w="1700" w:type="dxa"/>
            <w:vAlign w:val="bottom"/>
            <w:gridSpan w:val="2"/>
          </w:tcPr>
          <w:p>
            <w:pPr>
              <w:jc w:val="right"/>
              <w:ind w:right="30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8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1,276,531</w:t>
            </w:r>
          </w:p>
        </w:tc>
        <w:tc>
          <w:tcPr>
            <w:tcW w:w="2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72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Less than 1%.</w:t>
            </w: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24"/>
                <w:szCs w:val="24"/>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5% + Holders</w:t>
            </w:r>
          </w:p>
        </w:tc>
        <w:tc>
          <w:tcPr>
            <w:tcW w:w="2720" w:type="dxa"/>
            <w:vAlign w:val="bottom"/>
            <w:gridSpan w:val="2"/>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340" w:type="dxa"/>
            <w:vAlign w:val="bottom"/>
            <w:gridSpan w:val="3"/>
          </w:tcPr>
          <w:p>
            <w:pPr>
              <w:jc w:val="center"/>
              <w:ind w:left="14"/>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80"/>
        </w:trPr>
        <w:tc>
          <w:tcPr>
            <w:tcW w:w="2220" w:type="dxa"/>
            <w:vAlign w:val="bottom"/>
            <w:tcBorders>
              <w:bottom w:val="single" w:sz="8" w:color="auto"/>
            </w:tcBorders>
            <w:gridSpan w:val="3"/>
            <w:vMerge w:val="continue"/>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800" w:type="dxa"/>
            <w:vAlign w:val="bottom"/>
          </w:tcPr>
          <w:p>
            <w:pPr>
              <w:jc w:val="right"/>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spacing w:after="0"/>
              <w:rPr>
                <w:sz w:val="15"/>
                <w:szCs w:val="15"/>
                <w:color w:val="auto"/>
              </w:rPr>
            </w:pPr>
          </w:p>
        </w:tc>
        <w:tc>
          <w:tcPr>
            <w:tcW w:w="14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5"/>
                <w:szCs w:val="15"/>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gridSpan w:val="5"/>
            <w:shd w:val="clear" w:color="auto" w:fill="CCEEFF"/>
          </w:tcPr>
          <w:p>
            <w:pPr>
              <w:spacing w:after="0" w:line="172" w:lineRule="exact"/>
              <w:rPr>
                <w:sz w:val="20"/>
                <w:szCs w:val="20"/>
                <w:color w:val="auto"/>
              </w:rPr>
            </w:pPr>
            <w:r>
              <w:rPr>
                <w:rFonts w:ascii="Times New Roman" w:cs="Times New Roman" w:eastAsia="Times New Roman" w:hAnsi="Times New Roman"/>
                <w:sz w:val="14"/>
                <w:szCs w:val="14"/>
                <w:color w:val="auto"/>
              </w:rPr>
              <w:t>Bios Entities</w:t>
            </w:r>
            <w:r>
              <w:rPr>
                <w:rFonts w:ascii="Times New Roman" w:cs="Times New Roman" w:eastAsia="Times New Roman" w:hAnsi="Times New Roman"/>
                <w:sz w:val="19"/>
                <w:szCs w:val="19"/>
                <w:color w:val="auto"/>
                <w:vertAlign w:val="superscript"/>
              </w:rPr>
              <w:t>(1)</w:t>
            </w:r>
          </w:p>
        </w:tc>
        <w:tc>
          <w:tcPr>
            <w:tcW w:w="800" w:type="dxa"/>
            <w:vAlign w:val="bottom"/>
            <w:tcBorders>
              <w:top w:val="single" w:sz="8" w:color="auto"/>
              <w:left w:val="single" w:sz="8" w:color="CCEEFF"/>
              <w:right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8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1751 River Run, Suite 400</w:t>
            </w:r>
          </w:p>
        </w:tc>
        <w:tc>
          <w:tcPr>
            <w:tcW w:w="80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CCEEFF"/>
          </w:tcPr>
          <w:p>
            <w:pPr>
              <w:spacing w:after="0"/>
              <w:rPr>
                <w:sz w:val="21"/>
                <w:szCs w:val="21"/>
                <w:color w:val="auto"/>
              </w:rPr>
            </w:pPr>
          </w:p>
        </w:tc>
        <w:tc>
          <w:tcPr>
            <w:tcW w:w="48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Fort Worth, Texas 76107</w:t>
            </w:r>
          </w:p>
        </w:tc>
        <w:tc>
          <w:tcPr>
            <w:tcW w:w="800" w:type="dxa"/>
            <w:vAlign w:val="bottom"/>
            <w:tcBorders>
              <w:left w:val="single" w:sz="8" w:color="CCEEFF"/>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1,994,866</w:t>
            </w:r>
          </w:p>
        </w:tc>
        <w:tc>
          <w:tcPr>
            <w:tcW w:w="2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49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Voss Capital, LP</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3773 Richmond, Suite 850</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4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Houston, Texas 77046</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4"/>
              </w:rPr>
              <w:t>4,468,969</w:t>
            </w:r>
          </w:p>
        </w:tc>
        <w:tc>
          <w:tcPr>
            <w:tcW w:w="2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15.9%</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54"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the entities affiliated with Bios Partners (the “Bios Entities”) consists of (i) 624 shares of common stock held by Bios Equity Partners, LP; (ii) 110,039 shares of common stock held by Bios Fund I QP, LP; (iii) 188,293 shares of common stock held by Bios Fund I, LP; (iv) 19,274 shares of common stock held by Bios Fund II NT, LP; (v) 143,991 shares of common stock held by Bios Fund II QP, LP; (vi) 44,201 shares of common stock held by Bios Fund II, LP; (vii) 474,105 shares of common stock held by Bios LTI Co-Invest III QP, LP; (viii) 462,731 shares of common stock held by Bios LTI Co-Invest III, LP; (ix) 170,117 shares of common stock held by Bios LTI SPV II, LP; (x) 224,000 shares of common stock held by Bios Clinical Opportunity Fund, LP; (xi) 18,000 shares of common stock held by Bios Fund III NT, LP; (xii) 110,000 shares of common stock held by Bios Fund III QP, LP; (xiii) 17,000 shares of common stock held by Bios Fund III, LP; (xiv) 2,823 shares of common stock and 2,274 shares of common stock issuable upon the exercise of options exercisable as of March 31, 2026 held by Aaron Fletcher; (xv) 644 shares of common stock held by The Aaron Fletcher Trust u/a/d May 17, 2016; (xvi) 644 shares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common stock held by The Holly Fletcher Trust u/a/d May 17, 2016; and (xvii) 6,106 shares of common stock held by The Fucci Family Living Trust u/a/d May 17, 2016. As a result of the blocker provision set forth in the Certificate of Designation of Preferences, Rights and Limitations of the Series X Preferred Stock (the “Certificate of Designation”), the share numbers in the preceding sentence exclude an additional 12,232,000 shares of common stock issuable upon conversion of the Series X preferred stock held in the aggregate by the Bios Entities.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The Bios Entities have provided such notice to decrease the beneficial ownership limitation to 9.99%. The reported share number also excludes additional 1,854,262 shares of common stock issuable upon exercise of warrants held in the aggregate by the Bios Entities, such warrants also being subject to a 9.99% beneficial ownership limitation with respect to the Bios Entities. The percentage owned after the offering for the Bios Entities gives effect to their receipt of warrants to purchase 3,000,000 shares of common stock to be issued at the close of this offering.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Konik Capital Partners, LLC, a division of T.R. Winston &amp; Company, LLC (“Representative” or “Konik”), is acting as the representative of the underwriters of the offering. We have entered into an underwriting agreement, dated April 30, 2026, with Konik. Subject to the terms and conditions of the underwriting agreement, we have agreed to sell to the underwriter named below and the underwriter named below has agreed to purchase, at the public offering price less the underwriting discounts and commissions set forth on the cover page of this prospectus, the following number of shares of our common stock:</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Konik Capital Partners, LLC</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50,000,000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50,000,000</w:t>
            </w:r>
          </w:p>
        </w:tc>
      </w:tr>
    </w:tbl>
    <w:p>
      <w:pPr>
        <w:spacing w:after="0" w:line="17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are committed to purchasing all the shares of common stock offered by us other than those covered by the option to purchase additional shares described below, if they purchase any shares.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legal opinions, comfort letters and officer’s certificates.</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common stock,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propose to offer the common stock offered by us to the public at the public offering price set forth on the cover of this prospectus. In addition, the underwriters may offer some of the common stock to other securities dealers at such price less a concession of $0.042 per share. After this offering, the public offering price and concession to dealers may be changed.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Discounts and Commissions</w:t>
      </w:r>
      <w:r>
        <w:rPr>
          <w:rFonts w:ascii="Times New Roman" w:cs="Times New Roman" w:eastAsia="Times New Roman" w:hAnsi="Times New Roman"/>
          <w:sz w:val="18"/>
          <w:szCs w:val="18"/>
          <w:color w:val="auto"/>
        </w:rPr>
        <w:t>. The following table shows the public offering price, underwriting discount, and proceeds, before expenses, to 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assumes either no exercise or full exercise by the underwriters of their over-allotment option.</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With Over-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50,000,000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57,500,000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(7%) to be paid by us</w:t>
            </w:r>
          </w:p>
        </w:tc>
        <w:tc>
          <w:tcPr>
            <w:tcW w:w="1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46,500,000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53,475,000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we have also agreed to pay all fees, disbursements and expenses (including but not limited to all representations) in connection with this offering, including, without limitation, our legal and accounting fees and disbursements, the costs of preparing, printing and delivering registration statements, prospectuses, and prospectus supplements and amendments, post-effective amendments and supplements thereto. In particular, we have agreed to pay at each of the closings of this offering (including the offering of shares sold through the exercise of the over-allotment option, if any), to the extent not paid at earlier closings of this offering, all expenses incident to the performance of our obligations under our engagement letter with the Representative, including, but not limited to: (1) all filing fees and communication expenses relating to the registration of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shares of common stock to be sold in this offering (including the over-allotment shares) with the SEC; (2) all Public Filing System filing fees associated with the review of this offering by FINRA; (3) all fees and expenses relating to the listing of the securities on the Nasdaq Stock Market, (4) all fees, expenses and disbursements relating to the registration, qualification or exemption of the offered common stock under the securities laws of such foreign jurisdictions as the Company and the Representative together determine; (5) the costs of all mailing and printing of the offering documents (including, without limitation, the underwriting agreement, and, if appropriate, any agreement among underwriters, selected dealers’ agreement, underwriter’s questionnaire and power of attorney), registration statements, prospectuses and prospectus supplements, and all amendments, supplements and exhibits thereto and as many preliminary and final prospectuses as the Representative may reasonably deem necessary; (6) the costs of preparing, printing and delivering certificates representing the securities; (7) fees and expenses of the transfer agent for the securities; and (8) stock transfer and/or stamp taxes, if any, payable upon the transfer of securities from the Company to the Representative;.</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Additionally, we will reimburse the Representative for its reasonable accountable expenses including actual accountable road show expenses for this offering; reasonable fees of the underwriter’s counsel up to an amount of $150,000 (which maximum shall apply solely to such fees and disbursements of counsel and not to other fees and expenses); and background checks of our officers and directors.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paid a $30,000 expense advance to the Representative to be credited against the accountable expenses actually incurred by the Representative, which will be returned to us to the extent such out-of-pocket accountable expenses are not actually incurred in accordance with FINRA Rule 5110(g)(4)(A). In no event will we be required to reimburse the Representative for its expenses in excess of $150,000.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total expenses of the offering, excluding underwriting discount, will be approximately $368,805.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over-allotment option. This option, which is exercisable for up to 45 days after the closing of this offering, permits the underwriters to purchase additional shares of common stock, representing 15% of the common stock sold in the offering, solely to cover over-allotments, if any. If the underwriters exercise all or part of this option, they will purchase shares of common stock covered by the option at the public offering price that appears on the cover page of this prospectus, less the underwriting discount.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on behalf of ourself and any successor entity, have agreed that, without the prior written consent of the Representative, we will not, for a period of 120 days after this offering (or 60 days if the gross offering proceeds are less than $16 million), (i) offer, pledge, sell, contract to sell, sell any option or contract to purchase, purchase any option or contract to sell, grant any option, right or warrant to purchase, lend, or otherwise transfer or dispose of, directly or indirectly, any shares of our capital stock or any securities convertible into or exercisable or exchangeable for shares of our capital stock, subject to customary exceptions for exercises or conversion of outstanding derivative securities and equity grants approved by our compensation committee; (ii) file or cause to be filed any registration statement with the SEC relating to the offering of any shares of our capital stock or any securities convertible into or exercisable or exchangeable for shares of our capital stock other than a Form S-8; (iii) complete any offering of our debt securities, other than entering into a line of credit with a traditional bank or sales of common stock under our existing at-the-market facility or (iv) enter into any swap or other arrangement that transfers to another, in whole or in part, any of the economic consequences of ownership of our capital stock, whether any such transaction described in clause (i), (ii), (iii) or (iv) above is to be settled by delivery of shares of our capital stock or such other securities, in cash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we and all of our directors and executive officers have agreed that, for a period of one hundred (100) days after the date of the offering, subject to certain limited exceptions, not to directly or indirectly, without the prior written consent of the Representative, (a) offer, sell, or otherwise transfer or dispose of, directly or indirectly, any shares of capital stock of the Company or any securities convertible into or exercisable or exchangeable for shares of capital stock of the Company; or (b) file or caused to be filed any registration statement with the SEC relating to the offering of any shares of capital stock of the Company or any securities convertible into or exercisable or exchangeable for shares of capital stock of the Company.</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prior sentence will not apply to (i) the shares to be sold pursuant to the underwriting agreement, (ii) any shares of common stock issued upon the exercise of an option or other security outstanding on the date of the offering, (iii) such issuances of options or grants of restricted stock or other equity-based awards under an existing Company equity incentive plans, as amended, and the issuance of shares issuable upon exercise of any such equity-based awards, (iv) the filing of registration statements on Form S-8, (v) the issuance of securities to affiliates and subsidiaries of the Company, and, (vi) the issuance of securities in connection with mergers, acquisitions, joint ventures, licensing arrangements or any other similar non-capital raising transactions.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 in its sole discretion, may release the common stock and other securities subject to the lock-up agreements described above in whole or in part at any time. When determining whether or not to release common stock and other securities from lock-up agreements, the Representative will consider, among other factors, the holder’s reasons for requesting the release, the number of shares of common stock and other securities for which the release is being requested and market conditions at the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 Warrants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have agreed to issue to the Representative or its designees warrants to purchase up to a total of 3% of the shares of common stock sold in this offering (including the shares sold through the exercise of the over-allotment option). Such warrants and underlying shares of common stock are included in this prospectus. The warrants are exercisable at $1.50 per share (150% of the public offering price per share) for five (5) years from the commencement of sales of this offering in compliance with FINRA Rule 5110(g)(8)(A). The warrants have been deemed compensation by FINRA and are therefore subject to a 180-day lock-up pursuant to FINRA Rule 5110(e). The Representative (or its permitted assignees under the Rule) will not sell, transfer, assign, pledge, or hypothecate these warrants or the shares of common stock underlying these warrants, nor will it engage in any hedging, short sale, derivative, put, or call transaction that would result in the effective economic disposition of the warrants or the underlying securities for a period of 180 days from the commencement of sales of the offering. The warrants may be exercised as to all, or a lesser number of shares of common stock and will provide for cashless exercise for the underlying shares. Such warrants will provide for piggyback registration rights upon request, in certain cases. The piggyback registration rights provided will not be greater than seven years from the commencement of sales of the public offering in compliance with FINRA Rule 5110(g)(8)(D). The warrants will have anti-dilution terms that are consistent with FINRA Rule 5110(g)(8)(E) and (F). We will bear all fees and expenses attendant to registering the securities issuable on exercise of the warrants other than underwriting commissions incurred and payable by the holders. The exercise price and number of shares issuable upon exercise of the warrants may be adjusted in certain circumstances including in the event of a stock dividend, extraordinary cash dividend or our recapitalization, reorganization, merger or consolidation. However, the warrant exercise price or underlying shares will not be adjusted for issuances of shares of common stock at a price below the warrant exercise price.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Regulation M under the Exchange Act, the underwriters may engage in activities that stabilize, maintain or otherwise affect the price of our common stock, including short sales and purchases to cover positions created by short positions, stabilizing transactions, syndicate covering transactions, penalty bids and passive market making.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involve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its option to purchase additional shares or purchasing shares in the open market.</w:t>
      </w:r>
    </w:p>
    <w:p>
      <w:pPr>
        <w:spacing w:after="0" w:line="94"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as long as the stabilizing bids do not exceed a specific maximum price.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our common stock in the open market after the distribution has been completed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underwriters’ option to purchase additional shares. If the underwriters sell more shares than could be covered by the underwriters’ option to purchase additional shares, thereby creating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our common stock who are underwriters or prospective underwriters may, subject to limitations, make bids for or purchase shares of our common stock until the time, if any, at which a stabilizing bid is made.</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These activities may have the effect of raising or maintaining the market price of our common stock or preventing or retarding a decline in the market price of our common stock. As a result of these activities, the price of our common stock may be higher than the price that might otherwise exist in the open market. These transactions may be effected on the Nasdaq Stock Market or otherwise and, if commenced, may be discontinued at any time.</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stabilizing transactions or that any transaction,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Price Determination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public offering price was negotiated between the underwriters and us. In determining the public offering price of our common stock, the underwriters considered:</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 and our business potential and earning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shares of generally comparable companies, as well as the recent market price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their affiliates and each person controlling an underwriter against any losses, claims, damages, judgments, assessments, costs, and other liabilities, as the same are incurred (including the reasonable fees and expenses of counsel), relating to or arising out of the offering, undertaken in good faith.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expect to make sales to accounts over which they exercise discretionary authority in excess of 5% of the shares of our common stock being offered in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our securities on the Nasdaq Stock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Konik may in the future provide us and our affiliates with investment banking and financial advisory services for which Konik may in the future receive customary fees. Konik may release, or authorize us to release, as the case may be, the common stock and other securities subject to the lock-up agreements described above in whole or in part at any time with or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who come into possession of this prospectus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websites maintained by the underwriters or selling group members, if any, participating in the offering. The Representative may allocate a number of shares to the underwriters and selling group members, if any, for sale to their online brokerage account holders. Any such allocations for online distributions will be made by the underwriters on the same basis as other allocations.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“RNTX.”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by this prospectus has been passed upon for us by Greenberg Traurig, LLP, Irvine, California. Lucosky Brookman, LLP, Woodbridge, New Jersey, is acting as counsel for the underwriters in connection with this offering.</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Rein Therapeutics, Inc. as of December 31, 2025 and for the year ended December 31, 2025 have been audited by CBIZ CPAs PC, an independent registered public accounting firm, as set forth in their report (which contains an explanatory paragraph relating to substantial doubt about the ability of Rein Therapeutics, Inc. to continue as a going concern as described in Note 1 to the financial statements), and are incorporated by reference in this prospectus and in the registration statement of which this prospectus is a part have been so incorporated in reliance on such report given upon such firm as experts in auditing and accounting.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Rein Therapeutics, Inc. as of December 31, 2024 and for the year ended December 31, 2024 have been audited by Marcum, LLP , an independent registered public accounting firm, as set forth in their report (which contains an explanatory paragraph relating to substantial doubt about the ability of Rein Therapeutics, Inc. to continue as a going concern as described in Note 1 to the financial statements), and are incorporated by reference in this prospectus and in the registration statement of which this prospectus is a part have been so incorporated in reliance on such report given upon such firm as experts in auditing and accounting.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320" w:top="455" w:right="5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Registration Statement, including the exhibits, can be read at the SEC website referred to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93"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26,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April 27,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0">
        <w:r>
          <w:rPr>
            <w:rFonts w:ascii="Times New Roman" w:cs="Times New Roman" w:eastAsia="Times New Roman" w:hAnsi="Times New Roman"/>
            <w:sz w:val="18"/>
            <w:szCs w:val="18"/>
            <w:u w:val="single" w:color="auto"/>
            <w:color w:val="0000EE"/>
          </w:rPr>
          <w:t>January 16, 2026</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February 19,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w:t>
      </w:r>
      <w:hyperlink r:id="rId53">
        <w:r>
          <w:rPr>
            <w:rFonts w:ascii="Times New Roman" w:cs="Times New Roman" w:eastAsia="Times New Roman" w:hAnsi="Times New Roman"/>
            <w:sz w:val="18"/>
            <w:szCs w:val="18"/>
            <w:u w:val="single" w:color="auto"/>
            <w:color w:val="0000EE"/>
          </w:rPr>
          <w:t>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June 23, 2017, as the description therein has been updated and superseded by the description of our capital stock contained in </w:t>
      </w:r>
      <w:hyperlink r:id="rId54">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w:t>
      </w:r>
    </w:p>
    <w:p>
      <w:pPr>
        <w:ind w:left="108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Form 10-K for the fiscal year ended December 31, 2023, as filed with the SEC on April 15, 2024, and including any amendments or reports filed for the purpose of updating such description.</w:t>
      </w:r>
    </w:p>
    <w:p>
      <w:pPr>
        <w:spacing w:after="0" w:line="181" w:lineRule="exact"/>
        <w:rPr>
          <w:rFonts w:ascii="Times New Roman" w:cs="Times New Roman" w:eastAsia="Times New Roman" w:hAnsi="Times New Roman"/>
          <w:sz w:val="18"/>
          <w:szCs w:val="18"/>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after the initial filing date of the registration statement of which this prospectus is a part and prior to the effectiveness of the registration statement, as well as subsequent to the effectiveness of such registration statement and prior to the filing of a post-effective amendment which indicates that all securities offered have been sold or which deregisters all securities then remaining unsold, shall be deemed to be incorporated by reference in the registration statement, of which this prospectus forms a part, and to be a part hereof from the date of filing of such documents.</w:t>
      </w:r>
    </w:p>
    <w:p>
      <w:pPr>
        <w:spacing w:after="0" w:line="189" w:lineRule="exact"/>
        <w:rPr>
          <w:rFonts w:ascii="Times New Roman" w:cs="Times New Roman" w:eastAsia="Times New Roman" w:hAnsi="Times New Roman"/>
          <w:sz w:val="18"/>
          <w:szCs w:val="18"/>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the registration statement, of which this prospectus forms a part,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the registration statement, of which this prospectus forms a part.</w:t>
      </w:r>
    </w:p>
    <w:p>
      <w:pPr>
        <w:spacing w:after="0" w:line="183" w:lineRule="exact"/>
        <w:rPr>
          <w:rFonts w:ascii="Times New Roman" w:cs="Times New Roman" w:eastAsia="Times New Roman" w:hAnsi="Times New Roman"/>
          <w:sz w:val="18"/>
          <w:szCs w:val="18"/>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upon written or oral request of that person, a copy of any and all of the reports or documents that have been incorporated by reference in this prospectus but not delivered with this prospectus. Please direct requests to us at the following address:</w:t>
      </w:r>
    </w:p>
    <w:p>
      <w:pPr>
        <w:spacing w:after="0" w:line="6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Rein Therapeutics,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12407 N. Mopac Expy., Suite 250 #390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802-1989</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You may also access these filings on our website at www.reintx.com. Except for the specific incorporated documents listed above, no information available on or through our website shall be deemed to be incorporated in this prospectus or the registration statement of which it forms a part.</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over the Internet on the SEC’s website at http://www.sec.gov.</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815975</wp:posOffset>
            </wp:positionV>
            <wp:extent cx="1045845" cy="779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045845" cy="7797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REIN THERAPEUTICS, INC.</w:t>
      </w:r>
    </w:p>
    <w:p>
      <w:pPr>
        <w:spacing w:after="0" w:line="23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50,000,000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495935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Konik Capital Partners</w:t>
      </w:r>
    </w:p>
    <w:p>
      <w:pPr>
        <w:spacing w:after="0" w:line="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i w:val="1"/>
          <w:iCs w:val="1"/>
          <w:color w:val="auto"/>
        </w:rPr>
        <w:t>a division of T.R. Winston &amp; Co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508635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577215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lowerRoman"/>
      <w:start w:val="2"/>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lvl w:ilvl="1">
      <w:lvlJc w:val="left"/>
      <w:lvlText w:val="•"/>
      <w:numFmt w:val="bullet"/>
      <w:start w:val="1"/>
    </w:lvl>
  </w:abstractNum>
  <w:abstractNum w:abstractNumId="12">
    <w:nsid w:val="519B500D"/>
    <w:multiLevelType w:val="hybridMultilevel"/>
    <w:lvl w:ilvl="0">
      <w:lvlJc w:val="left"/>
      <w:lvlText w:val="2"/>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7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jpe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31" Type="http://schemas.openxmlformats.org/officeDocument/2006/relationships/hyperlink" Target="http://www.sec.gov/Archives/edgar/data/1420565/000119312523266990/d571974dex31.htm" TargetMode="External"/><Relationship Id="rId48" Type="http://schemas.openxmlformats.org/officeDocument/2006/relationships/hyperlink" Target="http://www.sec.gov/ix?doc=/Archives/edgar/data/1420565/000119312526126385/rntx-20251231.htm" TargetMode="External"/><Relationship Id="rId49" Type="http://schemas.openxmlformats.org/officeDocument/2006/relationships/hyperlink" Target="http://www.sec.gov/ix?doc=/Archives/edgar/data/1420565/000119312526178787/rntx-20251231.htm" TargetMode="External"/><Relationship Id="rId50" Type="http://schemas.openxmlformats.org/officeDocument/2006/relationships/hyperlink" Target="http://www.sec.gov/ix?doc=/Archives/edgar/data/1420565/000119312526015524/d80335d8k.htm" TargetMode="External"/><Relationship Id="rId51" Type="http://schemas.openxmlformats.org/officeDocument/2006/relationships/hyperlink" Target="http://www.sec.gov/ix?doc=/Archives/edgar/data/1420565/000119312526059545/d31606d8k.htm" TargetMode="External"/><Relationship Id="rId52" Type="http://schemas.openxmlformats.org/officeDocument/2006/relationships/hyperlink" Target="http://www.sec.gov/ix?doc=/Archives/edgar/data/1420565/000119312526084012/d121919d8k.htm" TargetMode="External"/><Relationship Id="rId53" Type="http://schemas.openxmlformats.org/officeDocument/2006/relationships/hyperlink" Target="http://www.sec.gov/Archives/edgar/data/1420565/000119312517211335/d403336d8a12b.htm" TargetMode="External"/><Relationship Id="rId54" Type="http://schemas.openxmlformats.org/officeDocument/2006/relationships/hyperlink" Target="http://www.sec.gov/Archives/edgar/data/1420565/000095017024044508/alrn-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2026-05-04T05:31:39Z</dcterms:created>
  <dcterms:modified xsi:type="dcterms:W3CDTF">2026-05-04T05:31:39Z</dcterms:modified>
</cp:coreProperties>
</file>